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512B" w14:textId="549C7084" w:rsidR="54883CC4" w:rsidRDefault="54883CC4"/>
    <w:p w14:paraId="15D8D918" w14:textId="77777777" w:rsidR="00314F79" w:rsidRDefault="00314F79"/>
    <w:p w14:paraId="05F53C58" w14:textId="77777777" w:rsidR="00314F79" w:rsidRPr="00314F79" w:rsidRDefault="00314F79">
      <w:pPr>
        <w:rPr>
          <w:sz w:val="72"/>
          <w:szCs w:val="72"/>
        </w:rPr>
      </w:pPr>
    </w:p>
    <w:p w14:paraId="434301E4" w14:textId="7E7C32A2" w:rsidR="00314F79" w:rsidRPr="00314F79" w:rsidRDefault="00314F79" w:rsidP="00314F79">
      <w:pPr>
        <w:pStyle w:val="Heading1"/>
        <w:rPr>
          <w:color w:val="5B9BD5" w:themeColor="accent5"/>
          <w:sz w:val="72"/>
          <w:szCs w:val="72"/>
          <w:lang w:val="en-US"/>
        </w:rPr>
      </w:pPr>
      <w:bookmarkStart w:id="0" w:name="_Toc72142579"/>
      <w:bookmarkStart w:id="1" w:name="_Toc2148595"/>
      <w:bookmarkStart w:id="2" w:name="_Toc4583312"/>
      <w:r w:rsidRPr="00314F79">
        <w:rPr>
          <w:color w:val="5B9BD5" w:themeColor="accent5"/>
          <w:sz w:val="72"/>
          <w:szCs w:val="72"/>
          <w:lang w:val="en-US"/>
        </w:rPr>
        <w:t>Skills Disability Support</w:t>
      </w:r>
    </w:p>
    <w:p w14:paraId="44D7F828" w14:textId="4581F49D" w:rsidR="00314F79" w:rsidRPr="00314F79" w:rsidRDefault="00314F79" w:rsidP="00314F79">
      <w:pPr>
        <w:rPr>
          <w:sz w:val="72"/>
          <w:szCs w:val="72"/>
          <w:lang w:val="en-US"/>
        </w:rPr>
      </w:pPr>
    </w:p>
    <w:p w14:paraId="6E0B5475" w14:textId="02403993" w:rsidR="00314F79" w:rsidRPr="00314F79" w:rsidRDefault="00BA2F3E" w:rsidP="00314F79">
      <w:pPr>
        <w:rPr>
          <w:color w:val="808080" w:themeColor="background1" w:themeShade="80"/>
          <w:sz w:val="72"/>
          <w:szCs w:val="72"/>
          <w:lang w:val="en-US"/>
        </w:rPr>
      </w:pPr>
      <w:r>
        <w:rPr>
          <w:color w:val="808080" w:themeColor="background1" w:themeShade="80"/>
          <w:sz w:val="72"/>
          <w:szCs w:val="72"/>
          <w:lang w:val="en-US"/>
        </w:rPr>
        <w:t>Program Guidelines</w:t>
      </w:r>
    </w:p>
    <w:p w14:paraId="4A3ACC99" w14:textId="77777777" w:rsidR="00314F79" w:rsidRDefault="00314F79" w:rsidP="00314F79">
      <w:pPr>
        <w:rPr>
          <w:lang w:val="en-US"/>
        </w:rPr>
      </w:pPr>
    </w:p>
    <w:p w14:paraId="062777ED" w14:textId="77777777" w:rsidR="00314F79" w:rsidRDefault="00314F79" w:rsidP="00314F79">
      <w:pPr>
        <w:rPr>
          <w:lang w:val="en-US"/>
        </w:rPr>
      </w:pPr>
    </w:p>
    <w:p w14:paraId="33A9C0B3" w14:textId="77777777" w:rsidR="00314F79" w:rsidRDefault="00314F79" w:rsidP="00314F79">
      <w:pPr>
        <w:rPr>
          <w:lang w:val="en-US"/>
        </w:rPr>
      </w:pPr>
    </w:p>
    <w:p w14:paraId="348A2FCB" w14:textId="77777777" w:rsidR="00314F79" w:rsidRDefault="00314F79" w:rsidP="00314F79">
      <w:pPr>
        <w:rPr>
          <w:lang w:val="en-US"/>
        </w:rPr>
      </w:pPr>
    </w:p>
    <w:p w14:paraId="3B1E7D65" w14:textId="77777777" w:rsidR="00314F79" w:rsidRDefault="00314F79" w:rsidP="00314F79">
      <w:pPr>
        <w:rPr>
          <w:lang w:val="en-US"/>
        </w:rPr>
      </w:pPr>
    </w:p>
    <w:p w14:paraId="1BDA2627" w14:textId="77777777" w:rsidR="00314F79" w:rsidRDefault="00314F79" w:rsidP="00314F79">
      <w:pPr>
        <w:rPr>
          <w:lang w:val="en-US"/>
        </w:rPr>
      </w:pPr>
    </w:p>
    <w:p w14:paraId="78671E75" w14:textId="77777777" w:rsidR="00314F79" w:rsidRDefault="00314F79" w:rsidP="00314F79">
      <w:pPr>
        <w:rPr>
          <w:lang w:val="en-US"/>
        </w:rPr>
      </w:pPr>
    </w:p>
    <w:p w14:paraId="3ECFA4EE" w14:textId="77777777" w:rsidR="00314F79" w:rsidRDefault="00314F79" w:rsidP="00314F79">
      <w:pPr>
        <w:rPr>
          <w:lang w:val="en-US"/>
        </w:rPr>
      </w:pPr>
    </w:p>
    <w:p w14:paraId="60BA8157" w14:textId="77777777" w:rsidR="00314F79" w:rsidRDefault="00314F79" w:rsidP="00314F79">
      <w:pPr>
        <w:rPr>
          <w:lang w:val="en-US"/>
        </w:rPr>
      </w:pPr>
    </w:p>
    <w:p w14:paraId="65E4AADE" w14:textId="77777777" w:rsidR="00314F79" w:rsidRDefault="00314F79" w:rsidP="00314F79">
      <w:pPr>
        <w:rPr>
          <w:lang w:val="en-US"/>
        </w:rPr>
      </w:pPr>
    </w:p>
    <w:p w14:paraId="0062FA21" w14:textId="77777777" w:rsidR="00314F79" w:rsidRDefault="00314F79" w:rsidP="00314F79">
      <w:pPr>
        <w:rPr>
          <w:lang w:val="en-US"/>
        </w:rPr>
      </w:pPr>
    </w:p>
    <w:p w14:paraId="3D50BF86" w14:textId="77777777" w:rsidR="00314F79" w:rsidRDefault="00314F79" w:rsidP="00314F79">
      <w:pPr>
        <w:rPr>
          <w:lang w:val="en-US"/>
        </w:rPr>
      </w:pPr>
    </w:p>
    <w:p w14:paraId="00F60597" w14:textId="77777777" w:rsidR="00314F79" w:rsidRDefault="00314F79" w:rsidP="00314F79">
      <w:pPr>
        <w:rPr>
          <w:lang w:val="en-US"/>
        </w:rPr>
      </w:pPr>
    </w:p>
    <w:p w14:paraId="395D8A7C" w14:textId="77777777" w:rsidR="00314F79" w:rsidRDefault="00314F79" w:rsidP="00314F79">
      <w:pPr>
        <w:rPr>
          <w:lang w:val="en-US"/>
        </w:rPr>
      </w:pPr>
    </w:p>
    <w:p w14:paraId="7F6D5B4D" w14:textId="77777777" w:rsidR="00314F79" w:rsidRDefault="00314F79" w:rsidP="00314F79">
      <w:pPr>
        <w:rPr>
          <w:lang w:val="en-US"/>
        </w:rPr>
      </w:pPr>
    </w:p>
    <w:p w14:paraId="58AF1F75" w14:textId="77777777" w:rsidR="00314F79" w:rsidRDefault="00314F79" w:rsidP="00314F79">
      <w:pPr>
        <w:rPr>
          <w:lang w:val="en-US"/>
        </w:rPr>
      </w:pPr>
    </w:p>
    <w:p w14:paraId="14663591" w14:textId="77777777" w:rsidR="00314F79" w:rsidRDefault="00314F79" w:rsidP="00314F79">
      <w:pPr>
        <w:rPr>
          <w:lang w:val="en-US"/>
        </w:rPr>
      </w:pPr>
    </w:p>
    <w:p w14:paraId="2E0A0C2E" w14:textId="77777777" w:rsidR="00314F79" w:rsidRDefault="00314F79" w:rsidP="00314F79">
      <w:pPr>
        <w:rPr>
          <w:lang w:val="en-US"/>
        </w:rPr>
      </w:pPr>
    </w:p>
    <w:p w14:paraId="001141F8" w14:textId="77777777" w:rsidR="00314F79" w:rsidRDefault="00314F79" w:rsidP="00314F79">
      <w:pPr>
        <w:rPr>
          <w:lang w:val="en-US"/>
        </w:rPr>
      </w:pPr>
    </w:p>
    <w:p w14:paraId="34F615BF" w14:textId="77777777" w:rsidR="00314F79" w:rsidRDefault="00314F79" w:rsidP="00314F79">
      <w:pPr>
        <w:rPr>
          <w:lang w:val="en-US"/>
        </w:rPr>
      </w:pPr>
    </w:p>
    <w:p w14:paraId="5ACA592E" w14:textId="77777777" w:rsidR="00314F79" w:rsidRDefault="00314F79" w:rsidP="00314F79">
      <w:pPr>
        <w:rPr>
          <w:lang w:val="en-US"/>
        </w:rPr>
      </w:pPr>
    </w:p>
    <w:p w14:paraId="6311DB64" w14:textId="77777777" w:rsidR="00314F79" w:rsidRDefault="00314F79" w:rsidP="00314F79">
      <w:pPr>
        <w:rPr>
          <w:lang w:val="en-US"/>
        </w:rPr>
      </w:pPr>
    </w:p>
    <w:p w14:paraId="6DE8CB51" w14:textId="77777777" w:rsidR="00314F79" w:rsidRDefault="00314F79" w:rsidP="00314F79">
      <w:pPr>
        <w:rPr>
          <w:lang w:val="en-US"/>
        </w:rPr>
      </w:pPr>
    </w:p>
    <w:bookmarkEnd w:id="0"/>
    <w:bookmarkEnd w:id="1"/>
    <w:bookmarkEnd w:id="2"/>
    <w:p w14:paraId="6AC87803" w14:textId="77777777" w:rsidR="00BA2F3E" w:rsidRPr="001179D3" w:rsidRDefault="00BA2F3E" w:rsidP="00BA2F3E">
      <w:pPr>
        <w:pStyle w:val="Heading1"/>
      </w:pPr>
      <w:r>
        <w:lastRenderedPageBreak/>
        <w:t>Guidelines for service</w:t>
      </w:r>
    </w:p>
    <w:p w14:paraId="27B0F9C3" w14:textId="77777777" w:rsidR="00BA2F3E" w:rsidRPr="00A17A62" w:rsidRDefault="00BA2F3E" w:rsidP="00BA2F3E">
      <w:pPr>
        <w:spacing w:before="120"/>
        <w:jc w:val="both"/>
        <w:rPr>
          <w:szCs w:val="22"/>
        </w:rPr>
      </w:pPr>
      <w:r w:rsidRPr="00A17A62">
        <w:rPr>
          <w:szCs w:val="22"/>
        </w:rPr>
        <w:t xml:space="preserve">Skills Disability Support (SDS) is administered by the Department of Employment, Small Business and Training (DESBT). It is a participation strategy to ensure equitable participation in vocational education and training (VET) by Queenslanders with disability seeking a sustainable employment outcome. </w:t>
      </w:r>
    </w:p>
    <w:p w14:paraId="4B6A6C41" w14:textId="77777777" w:rsidR="00BA2F3E" w:rsidRPr="00A17A62" w:rsidRDefault="00BA2F3E" w:rsidP="00BA2F3E">
      <w:pPr>
        <w:spacing w:before="120"/>
        <w:jc w:val="both"/>
        <w:rPr>
          <w:szCs w:val="22"/>
        </w:rPr>
      </w:pPr>
      <w:r w:rsidRPr="00A17A62">
        <w:rPr>
          <w:szCs w:val="22"/>
        </w:rPr>
        <w:t>To ensure quality outcomes, SDS draws on the Queensland VET Quality Framework to provide specialised services to pre-approved registered training organisations (RTOs), known as Skills Assure Suppliers (SAS).</w:t>
      </w:r>
    </w:p>
    <w:p w14:paraId="4CC7DF37" w14:textId="77777777" w:rsidR="00BA2F3E" w:rsidRPr="00A17A62" w:rsidRDefault="00BA2F3E" w:rsidP="00BA2F3E">
      <w:pPr>
        <w:spacing w:before="120"/>
        <w:jc w:val="both"/>
        <w:rPr>
          <w:szCs w:val="22"/>
        </w:rPr>
      </w:pPr>
      <w:r w:rsidRPr="00A17A62">
        <w:rPr>
          <w:szCs w:val="22"/>
        </w:rPr>
        <w:t xml:space="preserve">DESBT encourages SAS to embed </w:t>
      </w:r>
      <w:hyperlink r:id="rId11" w:history="1">
        <w:r w:rsidRPr="00A17A62">
          <w:rPr>
            <w:rStyle w:val="Hyperlink"/>
            <w:szCs w:val="22"/>
          </w:rPr>
          <w:t>inclusive practices</w:t>
        </w:r>
      </w:hyperlink>
      <w:r w:rsidRPr="00A17A62">
        <w:rPr>
          <w:szCs w:val="22"/>
        </w:rPr>
        <w:t xml:space="preserve"> in the training environment to support all students to gain the skills, qualifications and experience they need to enter and stay in the workforce. </w:t>
      </w:r>
    </w:p>
    <w:p w14:paraId="2ACB2683" w14:textId="77777777" w:rsidR="00BA2F3E" w:rsidRDefault="00BA2F3E" w:rsidP="00BA2F3E">
      <w:pPr>
        <w:spacing w:before="120"/>
        <w:jc w:val="both"/>
        <w:rPr>
          <w:szCs w:val="22"/>
        </w:rPr>
      </w:pPr>
      <w:r w:rsidRPr="00A17A62">
        <w:rPr>
          <w:szCs w:val="22"/>
        </w:rPr>
        <w:t>For students with disability, inclusive practices form the foundation for specialised services tailored to individual needs.</w:t>
      </w:r>
    </w:p>
    <w:p w14:paraId="67B0D5C7" w14:textId="77777777" w:rsidR="00625638" w:rsidRPr="00A17A62" w:rsidRDefault="00625638" w:rsidP="00BA2F3E">
      <w:pPr>
        <w:spacing w:before="120"/>
        <w:jc w:val="both"/>
        <w:rPr>
          <w:szCs w:val="22"/>
        </w:rPr>
      </w:pPr>
    </w:p>
    <w:p w14:paraId="4E9127C9" w14:textId="77777777" w:rsidR="00BA2F3E" w:rsidRPr="006978F2" w:rsidRDefault="00BA2F3E" w:rsidP="00BA2F3E">
      <w:pPr>
        <w:pStyle w:val="Heading1"/>
        <w:jc w:val="both"/>
      </w:pPr>
      <w:r w:rsidRPr="006978F2">
        <w:t>Objectives</w:t>
      </w:r>
    </w:p>
    <w:p w14:paraId="31B02CB4" w14:textId="77777777" w:rsidR="00BA2F3E" w:rsidRPr="00A17A62" w:rsidRDefault="00BA2F3E" w:rsidP="00BA2F3E">
      <w:pPr>
        <w:spacing w:before="120"/>
        <w:jc w:val="both"/>
        <w:rPr>
          <w:szCs w:val="22"/>
        </w:rPr>
      </w:pPr>
      <w:r w:rsidRPr="00A17A62">
        <w:rPr>
          <w:szCs w:val="22"/>
        </w:rPr>
        <w:t>SDS provides flexible training support to enhance an individual’s opportunities for achieving sustainable employment.</w:t>
      </w:r>
    </w:p>
    <w:p w14:paraId="4EAFB155" w14:textId="77777777" w:rsidR="00BA2F3E" w:rsidRPr="00A17A62" w:rsidRDefault="00BA2F3E" w:rsidP="00BA2F3E">
      <w:pPr>
        <w:spacing w:before="120"/>
        <w:jc w:val="both"/>
        <w:rPr>
          <w:szCs w:val="22"/>
        </w:rPr>
      </w:pPr>
      <w:r w:rsidRPr="00A17A62">
        <w:rPr>
          <w:szCs w:val="22"/>
        </w:rPr>
        <w:t>The principle aims of the strategy are to:</w:t>
      </w:r>
    </w:p>
    <w:p w14:paraId="4532EFB5" w14:textId="77777777" w:rsidR="00BA2F3E" w:rsidRPr="00A17A62" w:rsidRDefault="00BA2F3E" w:rsidP="00BA2F3E">
      <w:pPr>
        <w:pStyle w:val="ListBullet"/>
        <w:jc w:val="both"/>
        <w:rPr>
          <w:szCs w:val="22"/>
        </w:rPr>
      </w:pPr>
      <w:r w:rsidRPr="00A17A62">
        <w:rPr>
          <w:szCs w:val="22"/>
        </w:rPr>
        <w:t>encourage and support the participation of students with disability through flexible support at a SAS of their choice</w:t>
      </w:r>
    </w:p>
    <w:p w14:paraId="4E22C6D3" w14:textId="77777777" w:rsidR="00BA2F3E" w:rsidRPr="00A17A62" w:rsidRDefault="00BA2F3E" w:rsidP="00BA2F3E">
      <w:pPr>
        <w:pStyle w:val="ListBullet"/>
        <w:jc w:val="both"/>
        <w:rPr>
          <w:szCs w:val="22"/>
        </w:rPr>
      </w:pPr>
      <w:r w:rsidRPr="00A17A62">
        <w:rPr>
          <w:szCs w:val="22"/>
        </w:rPr>
        <w:t>assist SAS to deliver quality services that meet the needs of their students with disability</w:t>
      </w:r>
    </w:p>
    <w:p w14:paraId="27325EDA" w14:textId="77777777" w:rsidR="00BA2F3E" w:rsidRPr="00A17A62" w:rsidRDefault="00BA2F3E" w:rsidP="00BA2F3E">
      <w:pPr>
        <w:pStyle w:val="ListBullet"/>
        <w:jc w:val="both"/>
        <w:rPr>
          <w:szCs w:val="22"/>
        </w:rPr>
      </w:pPr>
      <w:r w:rsidRPr="00A17A62">
        <w:rPr>
          <w:szCs w:val="22"/>
        </w:rPr>
        <w:t>encourage efficient and effective use of specialised technology</w:t>
      </w:r>
    </w:p>
    <w:p w14:paraId="526D8EA3" w14:textId="77777777" w:rsidR="00BA2F3E" w:rsidRPr="00A17A62" w:rsidRDefault="00BA2F3E" w:rsidP="00BA2F3E">
      <w:pPr>
        <w:pStyle w:val="ListBullet"/>
        <w:jc w:val="both"/>
        <w:rPr>
          <w:szCs w:val="22"/>
        </w:rPr>
      </w:pPr>
      <w:r w:rsidRPr="00A17A62">
        <w:rPr>
          <w:szCs w:val="22"/>
        </w:rPr>
        <w:t>increase the understanding and consistency of support through a coordinated approach.</w:t>
      </w:r>
    </w:p>
    <w:p w14:paraId="5005DAF5" w14:textId="77777777" w:rsidR="00BA2F3E" w:rsidRPr="00A17A62" w:rsidRDefault="00BA2F3E" w:rsidP="00BA2F3E">
      <w:pPr>
        <w:pStyle w:val="ListBullet"/>
        <w:numPr>
          <w:ilvl w:val="0"/>
          <w:numId w:val="0"/>
        </w:numPr>
        <w:jc w:val="both"/>
        <w:rPr>
          <w:snapToGrid/>
          <w:szCs w:val="22"/>
        </w:rPr>
      </w:pPr>
    </w:p>
    <w:p w14:paraId="0BADB762" w14:textId="77777777" w:rsidR="00BA2F3E" w:rsidRPr="00A17A62" w:rsidRDefault="00BA2F3E" w:rsidP="00BA2F3E">
      <w:pPr>
        <w:pStyle w:val="ListBullet"/>
        <w:numPr>
          <w:ilvl w:val="0"/>
          <w:numId w:val="0"/>
        </w:numPr>
        <w:jc w:val="both"/>
        <w:rPr>
          <w:szCs w:val="22"/>
        </w:rPr>
      </w:pPr>
      <w:r w:rsidRPr="00A17A62">
        <w:rPr>
          <w:snapToGrid/>
          <w:szCs w:val="22"/>
        </w:rPr>
        <w:t xml:space="preserve">The services available are applied as reasonable adjustment under the </w:t>
      </w:r>
      <w:r w:rsidRPr="00A17A62">
        <w:rPr>
          <w:i/>
          <w:iCs/>
          <w:snapToGrid/>
          <w:szCs w:val="22"/>
        </w:rPr>
        <w:t>Disability Standards for Education 2005</w:t>
      </w:r>
      <w:r w:rsidRPr="00A17A62">
        <w:rPr>
          <w:snapToGrid/>
          <w:szCs w:val="22"/>
        </w:rPr>
        <w:t>. They facilitate learning and participation in training on the same basis as students without disability and help reduce the impact of an individual’s disability on training and employment outcomes. They do not duplicate, or affect an individual’s eligibility for/receipt of, a package under</w:t>
      </w:r>
      <w:r w:rsidRPr="00A17A62">
        <w:rPr>
          <w:szCs w:val="22"/>
        </w:rPr>
        <w:t xml:space="preserve"> the National Disability Insurance Scheme (NDIS).</w:t>
      </w:r>
    </w:p>
    <w:p w14:paraId="2260DDEE" w14:textId="77777777" w:rsidR="00BA2F3E" w:rsidRDefault="00BA2F3E" w:rsidP="00BA2F3E">
      <w:pPr>
        <w:pStyle w:val="Heading1"/>
        <w:jc w:val="both"/>
      </w:pPr>
    </w:p>
    <w:p w14:paraId="792EB731" w14:textId="77777777" w:rsidR="00BA2F3E" w:rsidRDefault="00BA2F3E" w:rsidP="00BA2F3E">
      <w:pPr>
        <w:pStyle w:val="Heading1"/>
        <w:jc w:val="both"/>
        <w:rPr>
          <w:sz w:val="32"/>
        </w:rPr>
      </w:pPr>
      <w:r>
        <w:t>Who can apply?</w:t>
      </w:r>
    </w:p>
    <w:p w14:paraId="1036DACD" w14:textId="77777777" w:rsidR="00BA2F3E" w:rsidRPr="00A17A62" w:rsidRDefault="00BA2F3E" w:rsidP="00BA2F3E">
      <w:pPr>
        <w:spacing w:before="120"/>
        <w:jc w:val="both"/>
        <w:rPr>
          <w:szCs w:val="22"/>
        </w:rPr>
      </w:pPr>
      <w:r w:rsidRPr="00A17A62">
        <w:rPr>
          <w:szCs w:val="22"/>
        </w:rPr>
        <w:t xml:space="preserve">Queensland </w:t>
      </w:r>
      <w:proofErr w:type="gramStart"/>
      <w:r w:rsidRPr="00A17A62">
        <w:rPr>
          <w:szCs w:val="22"/>
        </w:rPr>
        <w:t>SAS</w:t>
      </w:r>
      <w:proofErr w:type="gramEnd"/>
      <w:r w:rsidRPr="00A17A62">
        <w:rPr>
          <w:szCs w:val="22"/>
        </w:rPr>
        <w:t xml:space="preserve"> are eligible to apply for Skills Disability Support services. They must be based in and deliver training in Queensland.</w:t>
      </w:r>
    </w:p>
    <w:p w14:paraId="237491AA" w14:textId="77777777" w:rsidR="00BA2F3E" w:rsidRDefault="00BA2F3E" w:rsidP="00BA2F3E">
      <w:pPr>
        <w:spacing w:before="120"/>
        <w:jc w:val="both"/>
        <w:rPr>
          <w:szCs w:val="22"/>
        </w:rPr>
      </w:pPr>
      <w:r w:rsidRPr="00A17A62">
        <w:rPr>
          <w:szCs w:val="22"/>
        </w:rPr>
        <w:t>Applicant organisations must be able to demonstrate the use of inclusive practices that enable and form the foundation of effective specialised support strategies.</w:t>
      </w:r>
    </w:p>
    <w:p w14:paraId="3548F3F3" w14:textId="77777777" w:rsidR="00625638" w:rsidRPr="00A17A62" w:rsidRDefault="00625638" w:rsidP="00BA2F3E">
      <w:pPr>
        <w:spacing w:before="120"/>
        <w:jc w:val="both"/>
        <w:rPr>
          <w:b/>
          <w:color w:val="ED7D31" w:themeColor="accent2"/>
          <w:szCs w:val="22"/>
        </w:rPr>
      </w:pPr>
    </w:p>
    <w:p w14:paraId="4A04DA29" w14:textId="77777777" w:rsidR="00BA2F3E" w:rsidRDefault="00BA2F3E" w:rsidP="00BA2F3E">
      <w:pPr>
        <w:pStyle w:val="Heading1"/>
        <w:jc w:val="both"/>
        <w:rPr>
          <w:sz w:val="32"/>
        </w:rPr>
      </w:pPr>
      <w:r>
        <w:lastRenderedPageBreak/>
        <w:t>Who will the services support?</w:t>
      </w:r>
    </w:p>
    <w:p w14:paraId="37322199" w14:textId="77777777" w:rsidR="00BA2F3E" w:rsidRPr="00A17A62" w:rsidRDefault="00BA2F3E" w:rsidP="00BA2F3E">
      <w:pPr>
        <w:spacing w:before="120"/>
        <w:jc w:val="both"/>
        <w:rPr>
          <w:szCs w:val="22"/>
        </w:rPr>
      </w:pPr>
      <w:r w:rsidRPr="00A17A62">
        <w:rPr>
          <w:szCs w:val="22"/>
        </w:rPr>
        <w:t xml:space="preserve">SDS assists students with disability who require specialised support services as reasonable adjustment under the </w:t>
      </w:r>
      <w:r w:rsidRPr="00A17A62">
        <w:rPr>
          <w:i/>
          <w:iCs/>
          <w:szCs w:val="22"/>
        </w:rPr>
        <w:t>Disability Standards for Education 2005</w:t>
      </w:r>
      <w:r w:rsidRPr="00A17A62">
        <w:rPr>
          <w:szCs w:val="22"/>
        </w:rPr>
        <w:t>.</w:t>
      </w:r>
    </w:p>
    <w:p w14:paraId="193FC818" w14:textId="77777777" w:rsidR="00BA2F3E" w:rsidRPr="00A17A62" w:rsidRDefault="00BA2F3E" w:rsidP="00BA2F3E">
      <w:pPr>
        <w:spacing w:before="120"/>
        <w:jc w:val="both"/>
        <w:rPr>
          <w:szCs w:val="22"/>
        </w:rPr>
      </w:pPr>
      <w:r w:rsidRPr="00A17A62">
        <w:rPr>
          <w:szCs w:val="22"/>
        </w:rPr>
        <w:t>Services assist individual students in mainstream programs. Programs that are specifically designed for and delivered to groups of students with disability are the responsibility of the SAS.</w:t>
      </w:r>
    </w:p>
    <w:p w14:paraId="3EEC0E92" w14:textId="77777777" w:rsidR="00BA2F3E" w:rsidRPr="00A17A62" w:rsidRDefault="00BA2F3E" w:rsidP="00BA2F3E">
      <w:pPr>
        <w:spacing w:before="120"/>
        <w:jc w:val="both"/>
        <w:rPr>
          <w:szCs w:val="22"/>
        </w:rPr>
      </w:pPr>
      <w:r w:rsidRPr="00A17A62">
        <w:rPr>
          <w:szCs w:val="22"/>
        </w:rPr>
        <w:t>To be eligible, students must:</w:t>
      </w:r>
    </w:p>
    <w:p w14:paraId="00F7C651" w14:textId="77777777" w:rsidR="00BA2F3E" w:rsidRPr="00A17A62" w:rsidRDefault="00BA2F3E" w:rsidP="00BA2F3E">
      <w:pPr>
        <w:pStyle w:val="ListBullet"/>
        <w:jc w:val="both"/>
        <w:rPr>
          <w:szCs w:val="22"/>
        </w:rPr>
      </w:pPr>
      <w:r w:rsidRPr="00A17A62">
        <w:rPr>
          <w:szCs w:val="22"/>
        </w:rPr>
        <w:t>have an identified disability</w:t>
      </w:r>
    </w:p>
    <w:p w14:paraId="3C7FCBA5" w14:textId="77777777" w:rsidR="00BA2F3E" w:rsidRPr="00A17A62" w:rsidRDefault="00BA2F3E" w:rsidP="00BA2F3E">
      <w:pPr>
        <w:pStyle w:val="ListBullet"/>
        <w:jc w:val="both"/>
        <w:rPr>
          <w:szCs w:val="22"/>
        </w:rPr>
      </w:pPr>
      <w:bookmarkStart w:id="3" w:name="_Hlk71885745"/>
      <w:r w:rsidRPr="00A17A62">
        <w:rPr>
          <w:szCs w:val="22"/>
        </w:rPr>
        <w:t>be 15 years or over, and no longer at school</w:t>
      </w:r>
    </w:p>
    <w:bookmarkEnd w:id="3"/>
    <w:p w14:paraId="0DB457F4" w14:textId="77777777" w:rsidR="00BA2F3E" w:rsidRPr="00A17A62" w:rsidRDefault="00BA2F3E" w:rsidP="00BA2F3E">
      <w:pPr>
        <w:pStyle w:val="ListBullet"/>
        <w:jc w:val="both"/>
        <w:rPr>
          <w:szCs w:val="22"/>
        </w:rPr>
      </w:pPr>
      <w:r w:rsidRPr="00A17A62">
        <w:rPr>
          <w:szCs w:val="22"/>
        </w:rPr>
        <w:t>be undertaking DESBT subsidised training and are not school students</w:t>
      </w:r>
    </w:p>
    <w:p w14:paraId="5A9EF6DE" w14:textId="77777777" w:rsidR="00BA2F3E" w:rsidRPr="00A17A62" w:rsidRDefault="00BA2F3E" w:rsidP="00BA2F3E">
      <w:pPr>
        <w:pStyle w:val="ListBullet"/>
        <w:jc w:val="both"/>
        <w:rPr>
          <w:szCs w:val="22"/>
        </w:rPr>
      </w:pPr>
      <w:r w:rsidRPr="00A17A62">
        <w:rPr>
          <w:szCs w:val="22"/>
        </w:rPr>
        <w:t>not be eligible to receive the same resources through other programs, initiatives or services.</w:t>
      </w:r>
    </w:p>
    <w:p w14:paraId="1F718A94" w14:textId="77777777" w:rsidR="00BA2F3E" w:rsidRDefault="00BA2F3E" w:rsidP="00BA2F3E">
      <w:pPr>
        <w:spacing w:before="120"/>
        <w:jc w:val="both"/>
        <w:rPr>
          <w:szCs w:val="22"/>
        </w:rPr>
      </w:pPr>
      <w:r w:rsidRPr="00A17A62">
        <w:rPr>
          <w:szCs w:val="22"/>
        </w:rPr>
        <w:t>Applicant organisations are responsible for screening students, subject to the above criteria. Students and/or circumstances outside the above criteria need to be discussed with DESBT.</w:t>
      </w:r>
    </w:p>
    <w:p w14:paraId="4A161712" w14:textId="77777777" w:rsidR="00625638" w:rsidRPr="00A17A62" w:rsidRDefault="00625638" w:rsidP="00BA2F3E">
      <w:pPr>
        <w:spacing w:before="120"/>
        <w:jc w:val="both"/>
        <w:rPr>
          <w:szCs w:val="22"/>
        </w:rPr>
      </w:pPr>
    </w:p>
    <w:p w14:paraId="61DE00C4" w14:textId="77777777" w:rsidR="00BA2F3E" w:rsidRDefault="00BA2F3E" w:rsidP="00BA2F3E">
      <w:pPr>
        <w:pStyle w:val="Heading1"/>
        <w:jc w:val="both"/>
        <w:rPr>
          <w:sz w:val="32"/>
        </w:rPr>
      </w:pPr>
      <w:r>
        <w:t>What assistance is available?</w:t>
      </w:r>
    </w:p>
    <w:p w14:paraId="1CD05777" w14:textId="77777777" w:rsidR="00BA2F3E" w:rsidRPr="00A17A62" w:rsidRDefault="00BA2F3E" w:rsidP="00BA2F3E">
      <w:pPr>
        <w:spacing w:before="120"/>
        <w:jc w:val="both"/>
        <w:rPr>
          <w:szCs w:val="22"/>
        </w:rPr>
      </w:pPr>
      <w:r w:rsidRPr="00A17A62">
        <w:rPr>
          <w:szCs w:val="22"/>
        </w:rPr>
        <w:t xml:space="preserve">SDS operates within an annual budget limit of $700,000 (GST Exclusive), providing specialised technology and subsidised support services as reasonable adjustment to facilitate learning. </w:t>
      </w:r>
    </w:p>
    <w:p w14:paraId="7FB83828" w14:textId="77777777" w:rsidR="00BA2F3E" w:rsidRPr="00A17A62" w:rsidRDefault="00BA2F3E" w:rsidP="00BA2F3E">
      <w:pPr>
        <w:spacing w:before="120"/>
        <w:jc w:val="both"/>
        <w:rPr>
          <w:szCs w:val="22"/>
        </w:rPr>
      </w:pPr>
      <w:r w:rsidRPr="00A17A62">
        <w:rPr>
          <w:szCs w:val="22"/>
        </w:rPr>
        <w:t>Assistance related to infrastructure, accessibility of learning resources and systems, general health or care, general foundation skill needs, course fees and teacher costs are not supported. Additionally, activities such as administration, coordination, staff induction and professional development are not supported.</w:t>
      </w:r>
    </w:p>
    <w:p w14:paraId="594F651E" w14:textId="77777777" w:rsidR="00BA2F3E" w:rsidRDefault="00BA2F3E" w:rsidP="00BA2F3E">
      <w:pPr>
        <w:pStyle w:val="Heading2"/>
        <w:jc w:val="both"/>
        <w:rPr>
          <w:sz w:val="26"/>
          <w:szCs w:val="28"/>
        </w:rPr>
      </w:pPr>
      <w:r>
        <w:t>Specialised technology</w:t>
      </w:r>
    </w:p>
    <w:p w14:paraId="55E72336" w14:textId="77777777" w:rsidR="00BA2F3E" w:rsidRPr="00A17A62" w:rsidRDefault="00BA2F3E" w:rsidP="00BA2F3E">
      <w:pPr>
        <w:spacing w:before="120"/>
        <w:jc w:val="both"/>
        <w:rPr>
          <w:szCs w:val="22"/>
        </w:rPr>
      </w:pPr>
      <w:r w:rsidRPr="00A17A62">
        <w:rPr>
          <w:szCs w:val="22"/>
        </w:rPr>
        <w:t>Specialised technology is purchased by DESBT and provided on a loan basis to SAS for use by eligible students. Examples include assistive software, magnification aids and specialised computer accessories.</w:t>
      </w:r>
    </w:p>
    <w:p w14:paraId="1F3EBD5D" w14:textId="77777777" w:rsidR="00BA2F3E" w:rsidRPr="00A17A62" w:rsidRDefault="00BA2F3E" w:rsidP="00BA2F3E">
      <w:pPr>
        <w:spacing w:before="120"/>
        <w:jc w:val="both"/>
        <w:rPr>
          <w:szCs w:val="22"/>
        </w:rPr>
      </w:pPr>
      <w:r w:rsidRPr="00A17A62">
        <w:rPr>
          <w:szCs w:val="22"/>
        </w:rPr>
        <w:t>To assist workforce preparation and continuity of support, technology available through SDS is applicable to most work environments.</w:t>
      </w:r>
    </w:p>
    <w:p w14:paraId="44F35E18" w14:textId="77777777" w:rsidR="00BA2F3E" w:rsidRDefault="00BA2F3E" w:rsidP="00BA2F3E">
      <w:pPr>
        <w:pStyle w:val="Heading2"/>
        <w:jc w:val="both"/>
      </w:pPr>
    </w:p>
    <w:p w14:paraId="476D993B" w14:textId="77777777" w:rsidR="00BA2F3E" w:rsidRDefault="00BA2F3E" w:rsidP="00BA2F3E">
      <w:pPr>
        <w:pStyle w:val="Heading2"/>
        <w:jc w:val="both"/>
        <w:rPr>
          <w:i/>
        </w:rPr>
      </w:pPr>
      <w:r>
        <w:t>Specialised subsidised support services</w:t>
      </w:r>
    </w:p>
    <w:p w14:paraId="529C5675" w14:textId="77777777" w:rsidR="00BA2F3E" w:rsidRPr="00A17A62" w:rsidRDefault="00BA2F3E" w:rsidP="00BA2F3E">
      <w:pPr>
        <w:spacing w:before="120"/>
        <w:jc w:val="both"/>
        <w:rPr>
          <w:szCs w:val="22"/>
        </w:rPr>
      </w:pPr>
      <w:r w:rsidRPr="00A17A62">
        <w:rPr>
          <w:szCs w:val="22"/>
        </w:rPr>
        <w:t>SAS can seek approval for the delivery of specialised subsidised support services. Specialised subsidised support services include:</w:t>
      </w:r>
    </w:p>
    <w:p w14:paraId="52ADA12B" w14:textId="77777777" w:rsidR="00BA2F3E" w:rsidRPr="00A17A62" w:rsidRDefault="00BA2F3E" w:rsidP="00BA2F3E">
      <w:pPr>
        <w:pStyle w:val="ListBullet"/>
        <w:jc w:val="both"/>
        <w:rPr>
          <w:szCs w:val="22"/>
        </w:rPr>
      </w:pPr>
      <w:proofErr w:type="spellStart"/>
      <w:r w:rsidRPr="00A17A62">
        <w:rPr>
          <w:szCs w:val="22"/>
        </w:rPr>
        <w:t>Auslan</w:t>
      </w:r>
      <w:proofErr w:type="spellEnd"/>
      <w:r w:rsidRPr="00A17A62">
        <w:rPr>
          <w:szCs w:val="22"/>
        </w:rPr>
        <w:t xml:space="preserve"> interpreters</w:t>
      </w:r>
    </w:p>
    <w:p w14:paraId="6A0CC037" w14:textId="77777777" w:rsidR="00BA2F3E" w:rsidRPr="00A17A62" w:rsidRDefault="00BA2F3E" w:rsidP="00BA2F3E">
      <w:pPr>
        <w:pStyle w:val="ListBullet"/>
        <w:jc w:val="both"/>
        <w:rPr>
          <w:szCs w:val="22"/>
        </w:rPr>
      </w:pPr>
      <w:r w:rsidRPr="00A17A62">
        <w:rPr>
          <w:szCs w:val="22"/>
        </w:rPr>
        <w:t>disability support workers, coaches or mentors</w:t>
      </w:r>
    </w:p>
    <w:p w14:paraId="0636F6C5" w14:textId="77777777" w:rsidR="00BA2F3E" w:rsidRPr="00A17A62" w:rsidRDefault="00BA2F3E" w:rsidP="00BA2F3E">
      <w:pPr>
        <w:pStyle w:val="ListBullet"/>
        <w:jc w:val="both"/>
        <w:rPr>
          <w:szCs w:val="22"/>
        </w:rPr>
      </w:pPr>
      <w:r w:rsidRPr="00A17A62">
        <w:rPr>
          <w:szCs w:val="22"/>
        </w:rPr>
        <w:t>notetakers/readers/scribes</w:t>
      </w:r>
    </w:p>
    <w:p w14:paraId="05A58F8E" w14:textId="77777777" w:rsidR="00BA2F3E" w:rsidRPr="00A17A62" w:rsidRDefault="00BA2F3E" w:rsidP="00BA2F3E">
      <w:pPr>
        <w:pStyle w:val="ListBullet"/>
        <w:jc w:val="both"/>
        <w:rPr>
          <w:szCs w:val="22"/>
        </w:rPr>
      </w:pPr>
      <w:r w:rsidRPr="00A17A62">
        <w:rPr>
          <w:szCs w:val="22"/>
        </w:rPr>
        <w:t>educational support needs assessments (when effective support strategies cannot be identified from the information available)</w:t>
      </w:r>
    </w:p>
    <w:p w14:paraId="3B80DF9A" w14:textId="77777777" w:rsidR="00BA2F3E" w:rsidRDefault="00BA2F3E" w:rsidP="00BA2F3E">
      <w:pPr>
        <w:pStyle w:val="ListBullet"/>
        <w:jc w:val="both"/>
        <w:rPr>
          <w:b/>
          <w:color w:val="ED7D31" w:themeColor="accent2"/>
          <w:sz w:val="36"/>
          <w:szCs w:val="36"/>
        </w:rPr>
      </w:pPr>
      <w:r w:rsidRPr="00A17A62">
        <w:rPr>
          <w:szCs w:val="22"/>
        </w:rPr>
        <w:t>student training in how to use SDS technology.</w:t>
      </w:r>
    </w:p>
    <w:p w14:paraId="08AB728B" w14:textId="77777777" w:rsidR="00BA2F3E" w:rsidRDefault="00BA2F3E" w:rsidP="00BA2F3E">
      <w:pPr>
        <w:pStyle w:val="Heading1"/>
        <w:spacing w:before="120"/>
        <w:jc w:val="both"/>
        <w:rPr>
          <w:sz w:val="32"/>
        </w:rPr>
      </w:pPr>
      <w:r>
        <w:lastRenderedPageBreak/>
        <w:t>What level of service is available?</w:t>
      </w:r>
    </w:p>
    <w:p w14:paraId="3455EAC8" w14:textId="77777777" w:rsidR="00BA2F3E" w:rsidRPr="00A17A62" w:rsidRDefault="00BA2F3E" w:rsidP="0051089B">
      <w:pPr>
        <w:pStyle w:val="Bodycopy"/>
      </w:pPr>
      <w:r w:rsidRPr="00A17A62">
        <w:t>SDS provides specialised technology and subsidised support services based on an individual student’s needs. The level and type of service is dependent on the assistance required, technology available in stock and reasonableness of the request.</w:t>
      </w:r>
    </w:p>
    <w:p w14:paraId="5F1CBB8B" w14:textId="77777777" w:rsidR="00BA2F3E" w:rsidRPr="00A17A62" w:rsidRDefault="00BA2F3E" w:rsidP="0051089B">
      <w:pPr>
        <w:pStyle w:val="Bodycopy"/>
      </w:pPr>
      <w:bookmarkStart w:id="4" w:name="_Hlk73696183"/>
      <w:r w:rsidRPr="00A17A62">
        <w:t>Up to $10,000 (GST Exclusive) will be available for eligible applicants seeking SDS subsidised funding support. Approved funding will be administered via a one-off grant paid upfront and will be managed through Bi-annual reporting and a final acquittal process. Unexpended funds will need to be returned to the department which will be managed through an invoice process.</w:t>
      </w:r>
    </w:p>
    <w:bookmarkEnd w:id="4"/>
    <w:p w14:paraId="6C53A8DF" w14:textId="77777777" w:rsidR="00BA2F3E" w:rsidRDefault="00BA2F3E" w:rsidP="0051089B">
      <w:pPr>
        <w:pStyle w:val="Bodycopy"/>
      </w:pPr>
      <w:r w:rsidRPr="00A17A62">
        <w:t xml:space="preserve">Vocational Education and Training in Schools (VETiS) students are ineligible to receive services under the SDS program. </w:t>
      </w:r>
    </w:p>
    <w:p w14:paraId="3F7F6B19" w14:textId="77777777" w:rsidR="0051089B" w:rsidRDefault="0051089B" w:rsidP="0051089B">
      <w:pPr>
        <w:pStyle w:val="Bodycopy"/>
      </w:pPr>
    </w:p>
    <w:p w14:paraId="608269FF" w14:textId="32E98E19" w:rsidR="00BA2F3E" w:rsidRDefault="0051089B" w:rsidP="00BA2F3E">
      <w:pPr>
        <w:pStyle w:val="Heading1"/>
        <w:jc w:val="both"/>
        <w:rPr>
          <w:sz w:val="32"/>
        </w:rPr>
      </w:pPr>
      <w:r>
        <w:t>W</w:t>
      </w:r>
      <w:r w:rsidR="00BA2F3E">
        <w:t>hat outcomes are expected?</w:t>
      </w:r>
    </w:p>
    <w:p w14:paraId="06294690" w14:textId="77777777" w:rsidR="00BA2F3E" w:rsidRPr="00A17A62" w:rsidRDefault="00BA2F3E" w:rsidP="00BA2F3E">
      <w:pPr>
        <w:pStyle w:val="Bodycopy"/>
        <w:jc w:val="both"/>
        <w:rPr>
          <w:szCs w:val="22"/>
        </w:rPr>
      </w:pPr>
      <w:r w:rsidRPr="00A17A62">
        <w:rPr>
          <w:szCs w:val="22"/>
        </w:rPr>
        <w:t>Outcomes are aligned to the training program students are undertaking and will vary according to their learning pathway and goals. Expected outcomes include:</w:t>
      </w:r>
    </w:p>
    <w:p w14:paraId="7884BD81" w14:textId="77777777" w:rsidR="00BA2F3E" w:rsidRPr="00A17A62" w:rsidRDefault="00BA2F3E" w:rsidP="00BA2F3E">
      <w:pPr>
        <w:pStyle w:val="ListBullet"/>
        <w:jc w:val="both"/>
        <w:rPr>
          <w:szCs w:val="22"/>
        </w:rPr>
      </w:pPr>
      <w:r w:rsidRPr="00A17A62">
        <w:rPr>
          <w:szCs w:val="22"/>
        </w:rPr>
        <w:t xml:space="preserve">increased ability to enter and stay in the workforce </w:t>
      </w:r>
    </w:p>
    <w:p w14:paraId="1766EABD" w14:textId="77777777" w:rsidR="00BA2F3E" w:rsidRPr="00A17A62" w:rsidRDefault="00BA2F3E" w:rsidP="00BA2F3E">
      <w:pPr>
        <w:pStyle w:val="ListBullet"/>
        <w:jc w:val="both"/>
        <w:rPr>
          <w:szCs w:val="22"/>
        </w:rPr>
      </w:pPr>
      <w:r w:rsidRPr="00A17A62">
        <w:rPr>
          <w:szCs w:val="22"/>
        </w:rPr>
        <w:t xml:space="preserve">achievement of personal and social development to enhance social inclusion and make progress towards obtaining employment. </w:t>
      </w:r>
    </w:p>
    <w:p w14:paraId="62480549" w14:textId="7F4B06E0" w:rsidR="00BA2F3E" w:rsidRDefault="00BA2F3E" w:rsidP="00BA2F3E">
      <w:pPr>
        <w:pStyle w:val="Bodycopy"/>
        <w:jc w:val="both"/>
        <w:rPr>
          <w:szCs w:val="22"/>
        </w:rPr>
      </w:pPr>
      <w:r w:rsidRPr="00A17A62">
        <w:rPr>
          <w:szCs w:val="22"/>
        </w:rPr>
        <w:t xml:space="preserve">Applicant organisations will be requested to submit Bi-annual reports to confirm status of ongoing students and the outcomes, student destinations and reasons for withdrawal (if </w:t>
      </w:r>
      <w:r w:rsidR="0051089B">
        <w:rPr>
          <w:szCs w:val="22"/>
        </w:rPr>
        <w:t>a</w:t>
      </w:r>
      <w:r w:rsidRPr="00A17A62">
        <w:rPr>
          <w:szCs w:val="22"/>
        </w:rPr>
        <w:t>pplicable) for completed/withdrawn students. These reports are used to inform future disability investment priorities and opportunities.</w:t>
      </w:r>
    </w:p>
    <w:p w14:paraId="73C69F34" w14:textId="77777777" w:rsidR="00625638" w:rsidRPr="00A17A62" w:rsidRDefault="00625638" w:rsidP="00BA2F3E">
      <w:pPr>
        <w:pStyle w:val="Bodycopy"/>
        <w:jc w:val="both"/>
        <w:rPr>
          <w:szCs w:val="22"/>
        </w:rPr>
      </w:pPr>
    </w:p>
    <w:p w14:paraId="7FFFBD4C" w14:textId="77777777" w:rsidR="00BA2F3E" w:rsidRDefault="00BA2F3E" w:rsidP="00BA2F3E">
      <w:pPr>
        <w:pStyle w:val="Heading1"/>
        <w:jc w:val="both"/>
        <w:rPr>
          <w:sz w:val="32"/>
        </w:rPr>
      </w:pPr>
      <w:r>
        <w:t>What is the application process?</w:t>
      </w:r>
    </w:p>
    <w:p w14:paraId="6ACB61E3" w14:textId="77777777" w:rsidR="00625638" w:rsidRDefault="00BA2F3E" w:rsidP="0051089B">
      <w:pPr>
        <w:pStyle w:val="Bodycopy"/>
      </w:pPr>
      <w:r w:rsidRPr="00A17A62">
        <w:t xml:space="preserve">Applicant organisations should submit an </w:t>
      </w:r>
      <w:hyperlink r:id="rId12" w:history="1">
        <w:r w:rsidRPr="00A17A62">
          <w:rPr>
            <w:rStyle w:val="Hyperlink"/>
            <w:szCs w:val="22"/>
          </w:rPr>
          <w:t>application form</w:t>
        </w:r>
      </w:hyperlink>
      <w:r w:rsidRPr="00A17A62">
        <w:t xml:space="preserve"> with attachments as noted on the form. </w:t>
      </w:r>
    </w:p>
    <w:p w14:paraId="29C495DB" w14:textId="77777777" w:rsidR="00625638" w:rsidRDefault="00BA2F3E" w:rsidP="0051089B">
      <w:pPr>
        <w:pStyle w:val="Bodycopy"/>
      </w:pPr>
      <w:r w:rsidRPr="00A17A62">
        <w:t>Only complete applications will be considered. Outcomes of the application process will be provided within 5-10 business</w:t>
      </w:r>
      <w:r w:rsidR="00625638">
        <w:t xml:space="preserve"> </w:t>
      </w:r>
      <w:r w:rsidRPr="00A17A62">
        <w:t>days from the receipt of all necessary information.</w:t>
      </w:r>
    </w:p>
    <w:p w14:paraId="62497547" w14:textId="40868609" w:rsidR="0051089B" w:rsidRDefault="00BA2F3E" w:rsidP="0051089B">
      <w:pPr>
        <w:pStyle w:val="Bodycopy"/>
      </w:pPr>
      <w:r w:rsidRPr="00A17A62">
        <w:t xml:space="preserve">Applicant organisations can email SDS at </w:t>
      </w:r>
      <w:hyperlink r:id="rId13" w:history="1">
        <w:r w:rsidRPr="00A17A62">
          <w:rPr>
            <w:rStyle w:val="Hyperlink"/>
            <w:szCs w:val="22"/>
          </w:rPr>
          <w:t>SkillsDisabilitySupport@desbt.qld.gov.au</w:t>
        </w:r>
      </w:hyperlink>
      <w:r w:rsidRPr="00A17A62">
        <w:t xml:space="preserve"> to seek assistance in completing the application.</w:t>
      </w:r>
    </w:p>
    <w:p w14:paraId="7C08C6FE" w14:textId="77777777" w:rsidR="0051089B" w:rsidRDefault="0051089B" w:rsidP="0051089B">
      <w:pPr>
        <w:pStyle w:val="Bodycopy"/>
      </w:pPr>
    </w:p>
    <w:p w14:paraId="3FFC9106" w14:textId="57805304" w:rsidR="00BA2F3E" w:rsidRDefault="00BA2F3E" w:rsidP="00BA2F3E">
      <w:pPr>
        <w:pStyle w:val="Heading1"/>
        <w:jc w:val="both"/>
      </w:pPr>
      <w:r w:rsidRPr="00043B52">
        <w:t>How will applications be</w:t>
      </w:r>
      <w:r>
        <w:t xml:space="preserve"> assessed?</w:t>
      </w:r>
    </w:p>
    <w:p w14:paraId="57547BDA" w14:textId="77777777" w:rsidR="00BA2F3E" w:rsidRDefault="00BA2F3E" w:rsidP="00BA2F3E">
      <w:pPr>
        <w:spacing w:before="120"/>
        <w:jc w:val="both"/>
        <w:rPr>
          <w:szCs w:val="22"/>
        </w:rPr>
      </w:pPr>
      <w:r w:rsidRPr="007B759D">
        <w:rPr>
          <w:szCs w:val="22"/>
        </w:rPr>
        <w:t>Applications are assessed against the following criteria. Assessors will also draw on local knowledge and experience and may reference other information held by DESBT.</w:t>
      </w:r>
    </w:p>
    <w:p w14:paraId="5F2050E1" w14:textId="77777777" w:rsidR="00BA2F3E" w:rsidRPr="007B759D" w:rsidRDefault="00BA2F3E" w:rsidP="00BA2F3E">
      <w:pPr>
        <w:spacing w:before="120"/>
        <w:jc w:val="both"/>
        <w:rPr>
          <w:szCs w:val="22"/>
        </w:rPr>
      </w:pPr>
    </w:p>
    <w:tbl>
      <w:tblPr>
        <w:tblStyle w:val="ListTable3-Accent2"/>
        <w:tblW w:w="0" w:type="auto"/>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single" w:sz="4" w:space="0" w:color="657C9C" w:themeColor="text2" w:themeTint="BF"/>
        </w:tblBorders>
        <w:tblLook w:val="04A0" w:firstRow="1" w:lastRow="0" w:firstColumn="1" w:lastColumn="0" w:noHBand="0" w:noVBand="1"/>
        <w:tblDescription w:val="Assessment criteria"/>
      </w:tblPr>
      <w:tblGrid>
        <w:gridCol w:w="2080"/>
        <w:gridCol w:w="6840"/>
      </w:tblGrid>
      <w:tr w:rsidR="00BA2F3E" w:rsidRPr="00D543AD" w14:paraId="1FA4E5FE" w14:textId="77777777" w:rsidTr="0051089B">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080" w:type="dxa"/>
            <w:tcBorders>
              <w:bottom w:val="none" w:sz="0" w:space="0" w:color="auto"/>
              <w:right w:val="none" w:sz="0" w:space="0" w:color="auto"/>
            </w:tcBorders>
            <w:shd w:val="clear" w:color="auto" w:fill="98A7BD" w:themeFill="text2" w:themeFillTint="80"/>
            <w:hideMark/>
          </w:tcPr>
          <w:p w14:paraId="75CBBD26" w14:textId="77777777" w:rsidR="00BA2F3E" w:rsidRPr="00D543AD" w:rsidRDefault="00BA2F3E" w:rsidP="00D3770A">
            <w:pPr>
              <w:pStyle w:val="TableHeadingLeft"/>
              <w:jc w:val="both"/>
              <w:rPr>
                <w:b/>
                <w:color w:val="auto"/>
                <w:sz w:val="18"/>
                <w:szCs w:val="18"/>
              </w:rPr>
            </w:pPr>
            <w:r w:rsidRPr="00D543AD">
              <w:rPr>
                <w:b/>
                <w:color w:val="auto"/>
                <w:sz w:val="18"/>
                <w:szCs w:val="18"/>
              </w:rPr>
              <w:t>Assessment criteria</w:t>
            </w:r>
          </w:p>
        </w:tc>
        <w:tc>
          <w:tcPr>
            <w:tcW w:w="6840" w:type="dxa"/>
            <w:shd w:val="clear" w:color="auto" w:fill="98A7BD" w:themeFill="text2" w:themeFillTint="80"/>
            <w:hideMark/>
          </w:tcPr>
          <w:p w14:paraId="24244CD9" w14:textId="77777777" w:rsidR="00BA2F3E" w:rsidRPr="00D543AD" w:rsidRDefault="00BA2F3E" w:rsidP="00D3770A">
            <w:pPr>
              <w:pStyle w:val="TableHeadingLeft"/>
              <w:jc w:val="both"/>
              <w:cnfStyle w:val="100000000000" w:firstRow="1" w:lastRow="0" w:firstColumn="0" w:lastColumn="0" w:oddVBand="0" w:evenVBand="0" w:oddHBand="0" w:evenHBand="0" w:firstRowFirstColumn="0" w:firstRowLastColumn="0" w:lastRowFirstColumn="0" w:lastRowLastColumn="0"/>
              <w:rPr>
                <w:b/>
                <w:color w:val="auto"/>
                <w:sz w:val="18"/>
                <w:szCs w:val="18"/>
              </w:rPr>
            </w:pPr>
            <w:r w:rsidRPr="00D543AD">
              <w:rPr>
                <w:b/>
                <w:color w:val="auto"/>
                <w:sz w:val="18"/>
                <w:szCs w:val="18"/>
              </w:rPr>
              <w:t>How this will be assessed – including but not limited to:</w:t>
            </w:r>
          </w:p>
        </w:tc>
      </w:tr>
      <w:tr w:rsidR="00BA2F3E" w:rsidRPr="00D543AD" w14:paraId="4FD63423" w14:textId="77777777" w:rsidTr="0051089B">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right w:val="none" w:sz="0" w:space="0" w:color="auto"/>
            </w:tcBorders>
            <w:hideMark/>
          </w:tcPr>
          <w:p w14:paraId="14180DDA" w14:textId="77777777" w:rsidR="00BA2F3E" w:rsidRPr="007B759D" w:rsidRDefault="00BA2F3E" w:rsidP="00D3770A">
            <w:pPr>
              <w:pStyle w:val="TableTextLeft"/>
              <w:rPr>
                <w:b w:val="0"/>
                <w:sz w:val="22"/>
                <w:szCs w:val="22"/>
              </w:rPr>
            </w:pPr>
            <w:r w:rsidRPr="007B759D">
              <w:rPr>
                <w:b w:val="0"/>
                <w:sz w:val="22"/>
                <w:szCs w:val="22"/>
              </w:rPr>
              <w:t>Capacity to manage</w:t>
            </w:r>
          </w:p>
        </w:tc>
        <w:tc>
          <w:tcPr>
            <w:tcW w:w="6840" w:type="dxa"/>
            <w:tcBorders>
              <w:top w:val="none" w:sz="0" w:space="0" w:color="auto"/>
              <w:bottom w:val="none" w:sz="0" w:space="0" w:color="auto"/>
            </w:tcBorders>
            <w:hideMark/>
          </w:tcPr>
          <w:p w14:paraId="79D83018" w14:textId="77777777" w:rsidR="00BA2F3E" w:rsidRPr="007B759D" w:rsidRDefault="00BA2F3E" w:rsidP="00D3770A">
            <w:pPr>
              <w:pStyle w:val="TableBullet"/>
              <w:tabs>
                <w:tab w:val="clear" w:pos="360"/>
                <w:tab w:val="num" w:pos="227"/>
              </w:tabs>
              <w:ind w:left="227" w:hanging="22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7B759D">
              <w:rPr>
                <w:sz w:val="22"/>
                <w:szCs w:val="22"/>
              </w:rPr>
              <w:t>commitment to inclusive practice</w:t>
            </w:r>
          </w:p>
          <w:p w14:paraId="75BA08FE" w14:textId="77777777" w:rsidR="00BA2F3E" w:rsidRPr="007B759D" w:rsidRDefault="00BA2F3E" w:rsidP="00D3770A">
            <w:pPr>
              <w:pStyle w:val="TableBullet"/>
              <w:tabs>
                <w:tab w:val="clear" w:pos="360"/>
                <w:tab w:val="num" w:pos="227"/>
              </w:tabs>
              <w:ind w:left="227" w:hanging="22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7B759D">
              <w:rPr>
                <w:sz w:val="22"/>
                <w:szCs w:val="22"/>
              </w:rPr>
              <w:t>training delivery tailored to support student needs</w:t>
            </w:r>
          </w:p>
          <w:p w14:paraId="7CF7F746" w14:textId="77777777" w:rsidR="00BA2F3E" w:rsidRPr="007B759D" w:rsidRDefault="00BA2F3E" w:rsidP="00D3770A">
            <w:pPr>
              <w:pStyle w:val="TableBullet"/>
              <w:tabs>
                <w:tab w:val="clear" w:pos="360"/>
                <w:tab w:val="num" w:pos="227"/>
              </w:tabs>
              <w:ind w:left="227" w:hanging="227"/>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7B759D">
              <w:rPr>
                <w:sz w:val="22"/>
                <w:szCs w:val="22"/>
              </w:rPr>
              <w:t>employees or links with organisations experienced and/or qualified in supporting students with disability</w:t>
            </w:r>
          </w:p>
        </w:tc>
      </w:tr>
      <w:tr w:rsidR="00BA2F3E" w:rsidRPr="00D543AD" w14:paraId="470A83F7" w14:textId="77777777" w:rsidTr="0051089B">
        <w:trPr>
          <w:trHeight w:val="1827"/>
        </w:trPr>
        <w:tc>
          <w:tcPr>
            <w:cnfStyle w:val="001000000000" w:firstRow="0" w:lastRow="0" w:firstColumn="1" w:lastColumn="0" w:oddVBand="0" w:evenVBand="0" w:oddHBand="0" w:evenHBand="0" w:firstRowFirstColumn="0" w:firstRowLastColumn="0" w:lastRowFirstColumn="0" w:lastRowLastColumn="0"/>
            <w:tcW w:w="2080" w:type="dxa"/>
            <w:tcBorders>
              <w:right w:val="none" w:sz="0" w:space="0" w:color="auto"/>
            </w:tcBorders>
            <w:hideMark/>
          </w:tcPr>
          <w:p w14:paraId="679AF85B" w14:textId="77777777" w:rsidR="00BA2F3E" w:rsidRPr="007B759D" w:rsidRDefault="00BA2F3E" w:rsidP="00D3770A">
            <w:pPr>
              <w:pStyle w:val="TableTextLeft"/>
              <w:rPr>
                <w:b w:val="0"/>
                <w:sz w:val="22"/>
                <w:szCs w:val="22"/>
              </w:rPr>
            </w:pPr>
            <w:r w:rsidRPr="007B759D">
              <w:rPr>
                <w:b w:val="0"/>
                <w:sz w:val="22"/>
                <w:szCs w:val="22"/>
              </w:rPr>
              <w:t>Servicing student needs</w:t>
            </w:r>
          </w:p>
        </w:tc>
        <w:tc>
          <w:tcPr>
            <w:tcW w:w="6840" w:type="dxa"/>
            <w:hideMark/>
          </w:tcPr>
          <w:p w14:paraId="3F36AC80" w14:textId="77777777" w:rsidR="00BA2F3E" w:rsidRPr="007B759D" w:rsidRDefault="00BA2F3E" w:rsidP="00D3770A">
            <w:pPr>
              <w:pStyle w:val="TableBullet"/>
              <w:tabs>
                <w:tab w:val="clear" w:pos="360"/>
                <w:tab w:val="num" w:pos="227"/>
              </w:tabs>
              <w:ind w:left="227" w:hanging="227"/>
              <w:jc w:val="both"/>
              <w:cnfStyle w:val="000000000000" w:firstRow="0" w:lastRow="0" w:firstColumn="0" w:lastColumn="0" w:oddVBand="0" w:evenVBand="0" w:oddHBand="0" w:evenHBand="0" w:firstRowFirstColumn="0" w:firstRowLastColumn="0" w:lastRowFirstColumn="0" w:lastRowLastColumn="0"/>
              <w:rPr>
                <w:sz w:val="22"/>
                <w:szCs w:val="22"/>
              </w:rPr>
            </w:pPr>
            <w:r w:rsidRPr="007B759D">
              <w:rPr>
                <w:sz w:val="22"/>
                <w:szCs w:val="22"/>
              </w:rPr>
              <w:t>how the support will mitigate the impact of a student’s disability on their capacity to learn and transition to employment</w:t>
            </w:r>
          </w:p>
          <w:p w14:paraId="2F84847D" w14:textId="77777777" w:rsidR="00BA2F3E" w:rsidRPr="007B759D" w:rsidRDefault="00BA2F3E" w:rsidP="00D3770A">
            <w:pPr>
              <w:pStyle w:val="TableBullet"/>
              <w:tabs>
                <w:tab w:val="clear" w:pos="360"/>
                <w:tab w:val="num" w:pos="227"/>
              </w:tabs>
              <w:ind w:left="227" w:hanging="227"/>
              <w:jc w:val="both"/>
              <w:cnfStyle w:val="000000000000" w:firstRow="0" w:lastRow="0" w:firstColumn="0" w:lastColumn="0" w:oddVBand="0" w:evenVBand="0" w:oddHBand="0" w:evenHBand="0" w:firstRowFirstColumn="0" w:firstRowLastColumn="0" w:lastRowFirstColumn="0" w:lastRowLastColumn="0"/>
              <w:rPr>
                <w:sz w:val="22"/>
                <w:szCs w:val="22"/>
              </w:rPr>
            </w:pPr>
            <w:r w:rsidRPr="007B759D">
              <w:rPr>
                <w:sz w:val="22"/>
                <w:szCs w:val="22"/>
              </w:rPr>
              <w:t>promotion of student independence</w:t>
            </w:r>
          </w:p>
          <w:p w14:paraId="09DB8F06" w14:textId="77777777" w:rsidR="00BA2F3E" w:rsidRPr="007B759D" w:rsidRDefault="00BA2F3E" w:rsidP="00D3770A">
            <w:pPr>
              <w:pStyle w:val="TableBullet"/>
              <w:tabs>
                <w:tab w:val="clear" w:pos="360"/>
                <w:tab w:val="num" w:pos="227"/>
              </w:tabs>
              <w:ind w:left="227" w:hanging="227"/>
              <w:jc w:val="both"/>
              <w:cnfStyle w:val="000000000000" w:firstRow="0" w:lastRow="0" w:firstColumn="0" w:lastColumn="0" w:oddVBand="0" w:evenVBand="0" w:oddHBand="0" w:evenHBand="0" w:firstRowFirstColumn="0" w:firstRowLastColumn="0" w:lastRowFirstColumn="0" w:lastRowLastColumn="0"/>
              <w:rPr>
                <w:sz w:val="22"/>
                <w:szCs w:val="22"/>
              </w:rPr>
            </w:pPr>
            <w:r w:rsidRPr="007B759D">
              <w:rPr>
                <w:sz w:val="22"/>
                <w:szCs w:val="22"/>
              </w:rPr>
              <w:t>identified gap or complementary to existing strategies/services (applications that duplicate other programs or services will not be funded)</w:t>
            </w:r>
          </w:p>
        </w:tc>
      </w:tr>
      <w:tr w:rsidR="00BA2F3E" w:rsidRPr="00D543AD" w14:paraId="4728E36F" w14:textId="77777777" w:rsidTr="0051089B">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right w:val="none" w:sz="0" w:space="0" w:color="auto"/>
            </w:tcBorders>
            <w:hideMark/>
          </w:tcPr>
          <w:p w14:paraId="797569B4" w14:textId="77777777" w:rsidR="00BA2F3E" w:rsidRPr="007B759D" w:rsidRDefault="00BA2F3E" w:rsidP="00D3770A">
            <w:pPr>
              <w:pStyle w:val="TableTextLeft"/>
              <w:rPr>
                <w:b w:val="0"/>
                <w:sz w:val="22"/>
                <w:szCs w:val="22"/>
              </w:rPr>
            </w:pPr>
            <w:r w:rsidRPr="007B759D">
              <w:rPr>
                <w:b w:val="0"/>
                <w:sz w:val="22"/>
                <w:szCs w:val="22"/>
              </w:rPr>
              <w:t>Outcomes</w:t>
            </w:r>
          </w:p>
        </w:tc>
        <w:tc>
          <w:tcPr>
            <w:tcW w:w="6840" w:type="dxa"/>
            <w:tcBorders>
              <w:top w:val="none" w:sz="0" w:space="0" w:color="auto"/>
              <w:bottom w:val="none" w:sz="0" w:space="0" w:color="auto"/>
            </w:tcBorders>
            <w:hideMark/>
          </w:tcPr>
          <w:p w14:paraId="28650977" w14:textId="77777777" w:rsidR="00BA2F3E" w:rsidRPr="007B759D" w:rsidRDefault="00BA2F3E" w:rsidP="00D3770A">
            <w:pPr>
              <w:pStyle w:val="TableBullet"/>
              <w:tabs>
                <w:tab w:val="clear" w:pos="360"/>
                <w:tab w:val="num" w:pos="227"/>
              </w:tabs>
              <w:ind w:left="227" w:hanging="227"/>
              <w:jc w:val="both"/>
              <w:cnfStyle w:val="000000100000" w:firstRow="0" w:lastRow="0" w:firstColumn="0" w:lastColumn="0" w:oddVBand="0" w:evenVBand="0" w:oddHBand="1" w:evenHBand="0" w:firstRowFirstColumn="0" w:firstRowLastColumn="0" w:lastRowFirstColumn="0" w:lastRowLastColumn="0"/>
              <w:rPr>
                <w:sz w:val="22"/>
                <w:szCs w:val="22"/>
              </w:rPr>
            </w:pPr>
            <w:r w:rsidRPr="007B759D">
              <w:rPr>
                <w:sz w:val="22"/>
                <w:szCs w:val="22"/>
              </w:rPr>
              <w:t xml:space="preserve">evidence of student progression </w:t>
            </w:r>
          </w:p>
        </w:tc>
      </w:tr>
      <w:tr w:rsidR="00BA2F3E" w:rsidRPr="00D543AD" w14:paraId="5F5082F0" w14:textId="77777777" w:rsidTr="0051089B">
        <w:trPr>
          <w:trHeight w:val="619"/>
        </w:trPr>
        <w:tc>
          <w:tcPr>
            <w:cnfStyle w:val="001000000000" w:firstRow="0" w:lastRow="0" w:firstColumn="1" w:lastColumn="0" w:oddVBand="0" w:evenVBand="0" w:oddHBand="0" w:evenHBand="0" w:firstRowFirstColumn="0" w:firstRowLastColumn="0" w:lastRowFirstColumn="0" w:lastRowLastColumn="0"/>
            <w:tcW w:w="2080" w:type="dxa"/>
            <w:tcBorders>
              <w:right w:val="none" w:sz="0" w:space="0" w:color="auto"/>
            </w:tcBorders>
            <w:hideMark/>
          </w:tcPr>
          <w:p w14:paraId="06AA04ED" w14:textId="77777777" w:rsidR="00BA2F3E" w:rsidRPr="007B759D" w:rsidRDefault="00BA2F3E" w:rsidP="00D3770A">
            <w:pPr>
              <w:pStyle w:val="TableTextLeft"/>
              <w:rPr>
                <w:b w:val="0"/>
                <w:sz w:val="22"/>
                <w:szCs w:val="22"/>
              </w:rPr>
            </w:pPr>
            <w:r w:rsidRPr="007B759D">
              <w:rPr>
                <w:b w:val="0"/>
                <w:sz w:val="22"/>
                <w:szCs w:val="22"/>
              </w:rPr>
              <w:t>Reasonableness</w:t>
            </w:r>
          </w:p>
        </w:tc>
        <w:tc>
          <w:tcPr>
            <w:tcW w:w="6840" w:type="dxa"/>
            <w:hideMark/>
          </w:tcPr>
          <w:p w14:paraId="438BA548" w14:textId="77777777" w:rsidR="00BA2F3E" w:rsidRPr="007B759D" w:rsidRDefault="00BA2F3E" w:rsidP="00D3770A">
            <w:pPr>
              <w:pStyle w:val="TableBullet"/>
              <w:tabs>
                <w:tab w:val="clear" w:pos="360"/>
                <w:tab w:val="num" w:pos="227"/>
              </w:tabs>
              <w:ind w:left="227" w:hanging="227"/>
              <w:jc w:val="both"/>
              <w:cnfStyle w:val="000000000000" w:firstRow="0" w:lastRow="0" w:firstColumn="0" w:lastColumn="0" w:oddVBand="0" w:evenVBand="0" w:oddHBand="0" w:evenHBand="0" w:firstRowFirstColumn="0" w:firstRowLastColumn="0" w:lastRowFirstColumn="0" w:lastRowLastColumn="0"/>
              <w:rPr>
                <w:sz w:val="22"/>
                <w:szCs w:val="22"/>
              </w:rPr>
            </w:pPr>
            <w:r w:rsidRPr="007B759D">
              <w:rPr>
                <w:sz w:val="22"/>
                <w:szCs w:val="22"/>
              </w:rPr>
              <w:t>cost, outcome and transferability of the support to an employment environment.</w:t>
            </w:r>
          </w:p>
        </w:tc>
      </w:tr>
    </w:tbl>
    <w:p w14:paraId="3F869529" w14:textId="77777777" w:rsidR="0051089B" w:rsidRDefault="0051089B" w:rsidP="00BA2F3E">
      <w:pPr>
        <w:spacing w:before="120"/>
        <w:jc w:val="both"/>
        <w:rPr>
          <w:szCs w:val="22"/>
        </w:rPr>
      </w:pPr>
    </w:p>
    <w:p w14:paraId="4EFB608C" w14:textId="77777777" w:rsidR="0051089B" w:rsidRDefault="0051089B" w:rsidP="0051089B">
      <w:pPr>
        <w:pStyle w:val="Heading1"/>
        <w:jc w:val="both"/>
      </w:pPr>
      <w:r>
        <w:t>What are the conditions?</w:t>
      </w:r>
    </w:p>
    <w:p w14:paraId="7F111C6F" w14:textId="69F353D1" w:rsidR="00BA2F3E" w:rsidRPr="007B759D" w:rsidRDefault="00BA2F3E" w:rsidP="00BA2F3E">
      <w:pPr>
        <w:spacing w:before="120"/>
        <w:jc w:val="both"/>
        <w:rPr>
          <w:szCs w:val="22"/>
        </w:rPr>
      </w:pPr>
      <w:r w:rsidRPr="007B759D">
        <w:rPr>
          <w:szCs w:val="22"/>
        </w:rPr>
        <w:t>SDS technology and funds for specialised subsidised support services can only be used for the delivery of the services as reasonable adjustment to students with disability.</w:t>
      </w:r>
    </w:p>
    <w:p w14:paraId="4E7CDBB7" w14:textId="77777777" w:rsidR="00BA2F3E" w:rsidRPr="007B759D" w:rsidRDefault="00BA2F3E" w:rsidP="00BA2F3E">
      <w:pPr>
        <w:spacing w:before="120"/>
        <w:jc w:val="both"/>
        <w:rPr>
          <w:szCs w:val="22"/>
        </w:rPr>
      </w:pPr>
      <w:r w:rsidRPr="007B759D">
        <w:rPr>
          <w:szCs w:val="22"/>
        </w:rPr>
        <w:t>Applicant organisations should ensure their student has provided consent to disclose personal information to DESBT and that their organisation’s Personal Liability Insurance complies with DESBT purchasing requirements.</w:t>
      </w:r>
    </w:p>
    <w:p w14:paraId="2705CC08" w14:textId="77777777" w:rsidR="00BA2F3E" w:rsidRPr="007B759D" w:rsidRDefault="00BA2F3E" w:rsidP="00BA2F3E">
      <w:pPr>
        <w:spacing w:before="120"/>
        <w:jc w:val="both"/>
        <w:rPr>
          <w:szCs w:val="22"/>
          <w:u w:val="single"/>
        </w:rPr>
      </w:pPr>
      <w:r w:rsidRPr="007B759D">
        <w:rPr>
          <w:szCs w:val="22"/>
        </w:rPr>
        <w:t xml:space="preserve">Successful applicants need to acknowledge and comply with the SDS </w:t>
      </w:r>
      <w:hyperlink r:id="rId14" w:history="1">
        <w:r w:rsidRPr="007B759D">
          <w:rPr>
            <w:rStyle w:val="Hyperlink"/>
            <w:szCs w:val="22"/>
          </w:rPr>
          <w:t>Terms of Use</w:t>
        </w:r>
      </w:hyperlink>
      <w:r w:rsidRPr="007B759D">
        <w:rPr>
          <w:szCs w:val="22"/>
          <w:u w:val="single"/>
        </w:rPr>
        <w:t xml:space="preserve">. </w:t>
      </w:r>
    </w:p>
    <w:p w14:paraId="24710C80" w14:textId="77777777" w:rsidR="00BA2F3E" w:rsidRPr="007B759D" w:rsidRDefault="00BA2F3E" w:rsidP="00BA2F3E">
      <w:pPr>
        <w:spacing w:before="120"/>
        <w:jc w:val="both"/>
        <w:rPr>
          <w:szCs w:val="22"/>
        </w:rPr>
      </w:pPr>
      <w:r w:rsidRPr="007B759D">
        <w:rPr>
          <w:szCs w:val="22"/>
        </w:rPr>
        <w:t xml:space="preserve">SDS services are available as subsidised assistance through a one-off, upfront grant payment upon commencement of training. Applicant organisations are responsible for monitoring the ongoing effectiveness of the services they receive in accordance with the </w:t>
      </w:r>
      <w:r w:rsidRPr="007B759D">
        <w:rPr>
          <w:i/>
          <w:iCs/>
          <w:szCs w:val="22"/>
        </w:rPr>
        <w:t>Disability Standards for Education 2005.</w:t>
      </w:r>
      <w:r w:rsidRPr="007B759D">
        <w:rPr>
          <w:szCs w:val="22"/>
        </w:rPr>
        <w:t xml:space="preserve"> </w:t>
      </w:r>
    </w:p>
    <w:p w14:paraId="049E4186" w14:textId="77777777" w:rsidR="00BA2F3E" w:rsidRDefault="00BA2F3E" w:rsidP="00BA2F3E">
      <w:pPr>
        <w:spacing w:before="120"/>
        <w:jc w:val="both"/>
        <w:rPr>
          <w:szCs w:val="22"/>
        </w:rPr>
      </w:pPr>
      <w:r w:rsidRPr="007B759D">
        <w:rPr>
          <w:szCs w:val="22"/>
        </w:rPr>
        <w:t>Bi-annual reporting will be required for all students, including students who have completed or withdrawn from studies.</w:t>
      </w:r>
    </w:p>
    <w:p w14:paraId="384444E0" w14:textId="2E132822" w:rsidR="0051089B" w:rsidRDefault="00BA2F3E" w:rsidP="00BA2F3E">
      <w:pPr>
        <w:spacing w:before="120"/>
        <w:jc w:val="both"/>
        <w:rPr>
          <w:szCs w:val="22"/>
        </w:rPr>
      </w:pPr>
      <w:r w:rsidRPr="007B759D">
        <w:rPr>
          <w:szCs w:val="22"/>
        </w:rPr>
        <w:t>Feedback about the services from students and staff is encouraged and can be submitted at any time.</w:t>
      </w:r>
    </w:p>
    <w:p w14:paraId="40A7E30C" w14:textId="77777777" w:rsidR="0051089B" w:rsidRPr="007B759D" w:rsidRDefault="0051089B" w:rsidP="00BA2F3E">
      <w:pPr>
        <w:spacing w:before="120"/>
        <w:jc w:val="both"/>
        <w:rPr>
          <w:szCs w:val="22"/>
        </w:rPr>
      </w:pPr>
    </w:p>
    <w:p w14:paraId="49A738AB" w14:textId="77777777" w:rsidR="00BA2F3E" w:rsidRDefault="00BA2F3E" w:rsidP="00BA2F3E">
      <w:pPr>
        <w:pStyle w:val="Heading2"/>
        <w:jc w:val="both"/>
      </w:pPr>
      <w:r>
        <w:t>Specialised technology loans</w:t>
      </w:r>
    </w:p>
    <w:p w14:paraId="2F35CE11" w14:textId="77777777" w:rsidR="00BA2F3E" w:rsidRPr="007B759D" w:rsidRDefault="00BA2F3E" w:rsidP="00BA2F3E">
      <w:pPr>
        <w:spacing w:before="120"/>
        <w:jc w:val="both"/>
        <w:rPr>
          <w:szCs w:val="22"/>
        </w:rPr>
      </w:pPr>
      <w:r w:rsidRPr="007B759D">
        <w:rPr>
          <w:szCs w:val="22"/>
        </w:rPr>
        <w:t>Technology loans are available for direct implementation and/or for student or employee trial. Applicant organisations are responsible for ensuring technology on loan is kept safe, secure and in good condition. This includes responsibility for electrical safety tagging each June and December. Fair wear and tear excepted, applicant organisations must indemnify DESBT against loss of or damage to the technology.</w:t>
      </w:r>
    </w:p>
    <w:p w14:paraId="3E2F22C4" w14:textId="77777777" w:rsidR="00BA2F3E" w:rsidRPr="007B759D" w:rsidRDefault="00BA2F3E" w:rsidP="00BA2F3E">
      <w:pPr>
        <w:spacing w:before="120"/>
        <w:jc w:val="both"/>
        <w:rPr>
          <w:rFonts w:cs="Arial"/>
          <w:szCs w:val="22"/>
        </w:rPr>
      </w:pPr>
      <w:r w:rsidRPr="007B759D">
        <w:rPr>
          <w:rFonts w:cs="Arial"/>
          <w:szCs w:val="22"/>
          <w:lang w:val="en-US"/>
        </w:rPr>
        <w:t xml:space="preserve">Software and software subscriptions will be considered to </w:t>
      </w:r>
      <w:proofErr w:type="gramStart"/>
      <w:r w:rsidRPr="007B759D">
        <w:rPr>
          <w:rFonts w:cs="Arial"/>
          <w:szCs w:val="22"/>
          <w:lang w:val="en-US"/>
        </w:rPr>
        <w:t>assist</w:t>
      </w:r>
      <w:proofErr w:type="gramEnd"/>
      <w:r w:rsidRPr="007B759D">
        <w:rPr>
          <w:rFonts w:cs="Arial"/>
          <w:szCs w:val="22"/>
          <w:lang w:val="en-US"/>
        </w:rPr>
        <w:t xml:space="preserve"> a student </w:t>
      </w:r>
      <w:proofErr w:type="gramStart"/>
      <w:r w:rsidRPr="007B759D">
        <w:rPr>
          <w:rFonts w:cs="Arial"/>
          <w:szCs w:val="22"/>
          <w:lang w:val="en-US"/>
        </w:rPr>
        <w:t>complete studies</w:t>
      </w:r>
      <w:proofErr w:type="gramEnd"/>
      <w:r w:rsidRPr="007B759D">
        <w:rPr>
          <w:rFonts w:cs="Arial"/>
          <w:szCs w:val="22"/>
          <w:lang w:val="en-US"/>
        </w:rPr>
        <w:t>.</w:t>
      </w:r>
    </w:p>
    <w:p w14:paraId="315582B6" w14:textId="77777777" w:rsidR="00BA2F3E" w:rsidRDefault="00BA2F3E" w:rsidP="00BA2F3E">
      <w:pPr>
        <w:pStyle w:val="Heading2"/>
        <w:jc w:val="both"/>
      </w:pPr>
      <w:r>
        <w:lastRenderedPageBreak/>
        <w:t>Specialised subsidised support services</w:t>
      </w:r>
    </w:p>
    <w:p w14:paraId="38843ADD" w14:textId="77777777" w:rsidR="00BA2F3E" w:rsidRPr="007B759D" w:rsidRDefault="00BA2F3E" w:rsidP="00BA2F3E">
      <w:pPr>
        <w:spacing w:before="120"/>
        <w:jc w:val="both"/>
        <w:rPr>
          <w:szCs w:val="22"/>
        </w:rPr>
      </w:pPr>
      <w:r w:rsidRPr="007B759D">
        <w:rPr>
          <w:szCs w:val="22"/>
        </w:rPr>
        <w:t xml:space="preserve">Specialised subsidised support services are provided for approved applications. Applicant organisations are required to arrange the support and will be granted applicable funding to provide student support in completing studies. </w:t>
      </w:r>
    </w:p>
    <w:p w14:paraId="43D2F359" w14:textId="77777777" w:rsidR="00BA2F3E" w:rsidRDefault="00BA2F3E" w:rsidP="00BA2F3E">
      <w:pPr>
        <w:spacing w:before="120"/>
        <w:jc w:val="both"/>
        <w:rPr>
          <w:szCs w:val="22"/>
        </w:rPr>
      </w:pPr>
      <w:r w:rsidRPr="007B759D">
        <w:rPr>
          <w:szCs w:val="22"/>
        </w:rPr>
        <w:t xml:space="preserve">Specialised subsidised support services are negotiated in advance and will only be approved once for a student, per qualification. </w:t>
      </w:r>
    </w:p>
    <w:p w14:paraId="2EA40883" w14:textId="77777777" w:rsidR="0051089B" w:rsidRPr="007B759D" w:rsidRDefault="0051089B" w:rsidP="00BA2F3E">
      <w:pPr>
        <w:spacing w:before="120"/>
        <w:jc w:val="both"/>
        <w:rPr>
          <w:szCs w:val="22"/>
        </w:rPr>
      </w:pPr>
    </w:p>
    <w:p w14:paraId="0ECE669D" w14:textId="77777777" w:rsidR="00BA2F3E" w:rsidRDefault="00BA2F3E" w:rsidP="00BA2F3E">
      <w:pPr>
        <w:pStyle w:val="Heading1"/>
        <w:jc w:val="both"/>
        <w:rPr>
          <w:sz w:val="32"/>
        </w:rPr>
      </w:pPr>
      <w:r>
        <w:t>Appeals process</w:t>
      </w:r>
    </w:p>
    <w:p w14:paraId="1F43613D" w14:textId="77777777" w:rsidR="00BA2F3E" w:rsidRPr="007B759D" w:rsidRDefault="00BA2F3E" w:rsidP="00BA2F3E">
      <w:pPr>
        <w:spacing w:before="120"/>
        <w:jc w:val="both"/>
        <w:rPr>
          <w:szCs w:val="22"/>
        </w:rPr>
      </w:pPr>
      <w:r w:rsidRPr="007B759D">
        <w:rPr>
          <w:szCs w:val="22"/>
        </w:rPr>
        <w:t>Applicant organisations may request a review of a decision made by DESBT. The appeals process has been established to help identify any problems in the application process, ensuring these processes continue to improve.</w:t>
      </w:r>
    </w:p>
    <w:p w14:paraId="76F63095" w14:textId="77777777" w:rsidR="00BA2F3E" w:rsidRPr="007B759D" w:rsidRDefault="00BA2F3E" w:rsidP="00BA2F3E">
      <w:pPr>
        <w:spacing w:before="120"/>
        <w:jc w:val="both"/>
        <w:rPr>
          <w:szCs w:val="22"/>
        </w:rPr>
      </w:pPr>
      <w:r w:rsidRPr="007B759D">
        <w:rPr>
          <w:szCs w:val="22"/>
        </w:rPr>
        <w:t xml:space="preserve">Appeals must be lodged via email to </w:t>
      </w:r>
      <w:hyperlink r:id="rId15" w:history="1">
        <w:r w:rsidRPr="007B759D">
          <w:rPr>
            <w:rStyle w:val="Hyperlink"/>
            <w:szCs w:val="22"/>
          </w:rPr>
          <w:t>SkillsDisabilitySupport@desbt.qld.gov.au</w:t>
        </w:r>
      </w:hyperlink>
      <w:r w:rsidRPr="007B759D">
        <w:rPr>
          <w:szCs w:val="22"/>
        </w:rPr>
        <w:t>.</w:t>
      </w:r>
    </w:p>
    <w:p w14:paraId="5DB2B2A6" w14:textId="774616FE" w:rsidR="00BA2F3E" w:rsidRDefault="00BA2F3E" w:rsidP="00BA2F3E">
      <w:pPr>
        <w:pStyle w:val="Bodycopy"/>
        <w:jc w:val="both"/>
        <w:rPr>
          <w:szCs w:val="22"/>
        </w:rPr>
      </w:pPr>
      <w:r w:rsidRPr="007B759D">
        <w:rPr>
          <w:szCs w:val="22"/>
        </w:rPr>
        <w:t>Applicants will be notified of the outcome of the appeal within 21 business days from receipt of the appeal</w:t>
      </w:r>
      <w:r w:rsidR="0051089B">
        <w:rPr>
          <w:szCs w:val="22"/>
        </w:rPr>
        <w:t>.</w:t>
      </w:r>
    </w:p>
    <w:p w14:paraId="60B5A007" w14:textId="77777777" w:rsidR="0051089B" w:rsidRPr="007B759D" w:rsidRDefault="0051089B" w:rsidP="00BA2F3E">
      <w:pPr>
        <w:pStyle w:val="Bodycopy"/>
        <w:jc w:val="both"/>
        <w:rPr>
          <w:szCs w:val="22"/>
        </w:rPr>
      </w:pPr>
    </w:p>
    <w:p w14:paraId="2B7C6126" w14:textId="77777777" w:rsidR="00BA2F3E" w:rsidRDefault="00BA2F3E" w:rsidP="00BA2F3E">
      <w:pPr>
        <w:pStyle w:val="Heading1"/>
        <w:jc w:val="both"/>
        <w:rPr>
          <w:sz w:val="32"/>
        </w:rPr>
      </w:pPr>
      <w:r>
        <w:t>More information</w:t>
      </w:r>
    </w:p>
    <w:p w14:paraId="5DA7B649" w14:textId="77777777" w:rsidR="00BA2F3E" w:rsidRPr="007B759D" w:rsidRDefault="00BA2F3E" w:rsidP="00BA2F3E">
      <w:pPr>
        <w:pStyle w:val="Bodycopy"/>
        <w:jc w:val="both"/>
        <w:rPr>
          <w:szCs w:val="22"/>
        </w:rPr>
      </w:pPr>
      <w:r w:rsidRPr="007B759D">
        <w:rPr>
          <w:szCs w:val="22"/>
        </w:rPr>
        <w:t xml:space="preserve">For more information visit </w:t>
      </w:r>
      <w:hyperlink r:id="rId16" w:history="1">
        <w:r w:rsidRPr="007B759D">
          <w:rPr>
            <w:rStyle w:val="Hyperlink"/>
            <w:szCs w:val="22"/>
          </w:rPr>
          <w:t>Skills Disability Support | Department of Employment, Small Business and Training (desbt.qld.gov.au)</w:t>
        </w:r>
      </w:hyperlink>
      <w:r w:rsidRPr="007B759D">
        <w:rPr>
          <w:szCs w:val="22"/>
        </w:rPr>
        <w:t xml:space="preserve"> or phone 1300 369 935.</w:t>
      </w:r>
    </w:p>
    <w:p w14:paraId="42A44788" w14:textId="372D9561" w:rsidR="54883CC4" w:rsidRPr="00314F79" w:rsidRDefault="54883CC4" w:rsidP="00BA2F3E">
      <w:pPr>
        <w:pStyle w:val="ListNumber"/>
        <w:numPr>
          <w:ilvl w:val="0"/>
          <w:numId w:val="0"/>
        </w:numPr>
        <w:ind w:left="567" w:hanging="567"/>
        <w:rPr>
          <w:rFonts w:ascii="Calibri" w:hAnsi="Calibri" w:cs="Calibri"/>
        </w:rPr>
      </w:pPr>
    </w:p>
    <w:sectPr w:rsidR="54883CC4" w:rsidRPr="00314F79" w:rsidSect="008D1F88">
      <w:footerReference w:type="default" r:id="rId17"/>
      <w:headerReference w:type="first" r:id="rId18"/>
      <w:footerReference w:type="first" r:id="rId19"/>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DE88" w14:textId="77777777" w:rsidR="000A4D84" w:rsidRDefault="000A4D84" w:rsidP="00A60625">
      <w:r>
        <w:separator/>
      </w:r>
    </w:p>
  </w:endnote>
  <w:endnote w:type="continuationSeparator" w:id="0">
    <w:p w14:paraId="62A7A669" w14:textId="77777777" w:rsidR="000A4D84" w:rsidRDefault="000A4D84" w:rsidP="00A60625">
      <w:r>
        <w:continuationSeparator/>
      </w:r>
    </w:p>
  </w:endnote>
  <w:endnote w:type="continuationNotice" w:id="1">
    <w:p w14:paraId="4BCD3F15" w14:textId="77777777" w:rsidR="000A4D84" w:rsidRDefault="000A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62" w14:textId="6B69D214" w:rsidR="00A60625" w:rsidRPr="00C316D2" w:rsidRDefault="00314F79" w:rsidP="00F02B4F">
    <w:pPr>
      <w:rPr>
        <w:sz w:val="16"/>
        <w:szCs w:val="16"/>
      </w:rPr>
    </w:pPr>
    <w:r>
      <w:rPr>
        <w:sz w:val="16"/>
        <w:szCs w:val="16"/>
      </w:rPr>
      <w:t xml:space="preserve">Skills Disability Support – </w:t>
    </w:r>
    <w:r w:rsidR="00BA2F3E">
      <w:rPr>
        <w:sz w:val="16"/>
        <w:szCs w:val="16"/>
      </w:rPr>
      <w:t>Program Guidelines</w:t>
    </w:r>
    <w:r>
      <w:rPr>
        <w:sz w:val="16"/>
        <w:szCs w:val="16"/>
      </w:rPr>
      <w:t xml:space="preserve"> - 2025</w:t>
    </w:r>
    <w:r w:rsidR="00F02B4F">
      <w:tab/>
    </w:r>
    <w:r w:rsidR="00F02B4F">
      <w:tab/>
    </w:r>
    <w:r w:rsidR="00F02B4F">
      <w:tab/>
    </w:r>
    <w:r w:rsidR="54883CC4" w:rsidRPr="54883CC4">
      <w:rPr>
        <w:sz w:val="16"/>
        <w:szCs w:val="16"/>
      </w:rPr>
      <w:t xml:space="preserve">          </w:t>
    </w:r>
    <w:r w:rsidR="00F02B4F">
      <w:tab/>
    </w:r>
    <w:r w:rsidR="00F02B4F">
      <w:tab/>
    </w:r>
    <w:r w:rsidR="00F02B4F">
      <w:tab/>
    </w:r>
    <w:r w:rsidR="00F02B4F" w:rsidRPr="54883CC4">
      <w:rPr>
        <w:noProof/>
        <w:sz w:val="16"/>
        <w:szCs w:val="16"/>
        <w:lang w:val="en-US"/>
      </w:rPr>
      <w:fldChar w:fldCharType="begin"/>
    </w:r>
    <w:r w:rsidR="00F02B4F" w:rsidRPr="54883CC4">
      <w:rPr>
        <w:sz w:val="16"/>
        <w:szCs w:val="16"/>
        <w:lang w:val="en-US"/>
      </w:rPr>
      <w:instrText xml:space="preserve"> PAGE   \* MERGEFORMAT </w:instrText>
    </w:r>
    <w:r w:rsidR="00F02B4F" w:rsidRPr="54883CC4">
      <w:rPr>
        <w:sz w:val="16"/>
        <w:szCs w:val="16"/>
      </w:rPr>
      <w:fldChar w:fldCharType="separate"/>
    </w:r>
    <w:r w:rsidR="54883CC4" w:rsidRPr="54883CC4">
      <w:rPr>
        <w:noProof/>
        <w:sz w:val="16"/>
        <w:szCs w:val="16"/>
        <w:lang w:val="en-US"/>
      </w:rPr>
      <w:t>2</w:t>
    </w:r>
    <w:r w:rsidR="00F02B4F" w:rsidRPr="54883CC4">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CEC" w14:textId="58DCB11D" w:rsidR="00F63C69" w:rsidRDefault="00CF08F2">
    <w:pPr>
      <w:pStyle w:val="Footer"/>
    </w:pPr>
    <w:r>
      <w:rPr>
        <w:noProof/>
      </w:rPr>
      <w:drawing>
        <wp:anchor distT="0" distB="0" distL="114300" distR="114300" simplePos="0" relativeHeight="251659264" behindDoc="0" locked="0" layoutInCell="1" allowOverlap="1" wp14:anchorId="25839C26" wp14:editId="6F67FD6E">
          <wp:simplePos x="0" y="0"/>
          <wp:positionH relativeFrom="column">
            <wp:posOffset>3657600</wp:posOffset>
          </wp:positionH>
          <wp:positionV relativeFrom="page">
            <wp:posOffset>9737090</wp:posOffset>
          </wp:positionV>
          <wp:extent cx="2588260" cy="434975"/>
          <wp:effectExtent l="0" t="0" r="2540" b="3175"/>
          <wp:wrapThrough wrapText="bothSides">
            <wp:wrapPolygon edited="0">
              <wp:start x="11605" y="0"/>
              <wp:lineTo x="0" y="5676"/>
              <wp:lineTo x="0" y="20812"/>
              <wp:lineTo x="8903" y="20812"/>
              <wp:lineTo x="13990" y="20812"/>
              <wp:lineTo x="21462" y="19866"/>
              <wp:lineTo x="21462" y="3784"/>
              <wp:lineTo x="12877" y="0"/>
              <wp:lineTo x="11605" y="0"/>
            </wp:wrapPolygon>
          </wp:wrapThrough>
          <wp:docPr id="7960085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0859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260" cy="434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6C69F" w14:textId="77777777" w:rsidR="000A4D84" w:rsidRDefault="000A4D84" w:rsidP="00A60625">
      <w:r>
        <w:separator/>
      </w:r>
    </w:p>
  </w:footnote>
  <w:footnote w:type="continuationSeparator" w:id="0">
    <w:p w14:paraId="5A34C7B3" w14:textId="77777777" w:rsidR="000A4D84" w:rsidRDefault="000A4D84" w:rsidP="00A60625">
      <w:r>
        <w:continuationSeparator/>
      </w:r>
    </w:p>
  </w:footnote>
  <w:footnote w:type="continuationNotice" w:id="1">
    <w:p w14:paraId="21E4D584" w14:textId="77777777" w:rsidR="000A4D84" w:rsidRDefault="000A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C65" w14:textId="410DD39E" w:rsidR="00A35161" w:rsidRDefault="0009325C">
    <w:pPr>
      <w:pStyle w:val="Header"/>
    </w:pPr>
    <w:r>
      <w:rPr>
        <w:noProof/>
      </w:rPr>
      <w:drawing>
        <wp:anchor distT="0" distB="0" distL="114300" distR="114300" simplePos="0" relativeHeight="251658240" behindDoc="1" locked="0" layoutInCell="1" allowOverlap="1" wp14:anchorId="4A7C26D2" wp14:editId="6BE24B58">
          <wp:simplePos x="0" y="0"/>
          <wp:positionH relativeFrom="page">
            <wp:posOffset>14605</wp:posOffset>
          </wp:positionH>
          <wp:positionV relativeFrom="margin">
            <wp:posOffset>-1059815</wp:posOffset>
          </wp:positionV>
          <wp:extent cx="7513394" cy="1073342"/>
          <wp:effectExtent l="0" t="0" r="0" b="0"/>
          <wp:wrapNone/>
          <wp:docPr id="127848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72"/>
    <w:multiLevelType w:val="multilevel"/>
    <w:tmpl w:val="E50A31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 w15:restartNumberingAfterBreak="0">
    <w:nsid w:val="06E23B77"/>
    <w:multiLevelType w:val="multilevel"/>
    <w:tmpl w:val="14626D5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 w15:restartNumberingAfterBreak="0">
    <w:nsid w:val="0A355121"/>
    <w:multiLevelType w:val="multilevel"/>
    <w:tmpl w:val="6D70020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 w15:restartNumberingAfterBreak="0">
    <w:nsid w:val="0A6F04A7"/>
    <w:multiLevelType w:val="multilevel"/>
    <w:tmpl w:val="435C9BA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 w15:restartNumberingAfterBreak="0">
    <w:nsid w:val="1118750B"/>
    <w:multiLevelType w:val="multilevel"/>
    <w:tmpl w:val="FBD823B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5" w15:restartNumberingAfterBreak="0">
    <w:nsid w:val="14D14A07"/>
    <w:multiLevelType w:val="multilevel"/>
    <w:tmpl w:val="7AF2167E"/>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6" w15:restartNumberingAfterBreak="0">
    <w:nsid w:val="178F7FC7"/>
    <w:multiLevelType w:val="multilevel"/>
    <w:tmpl w:val="876A538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7" w15:restartNumberingAfterBreak="0">
    <w:nsid w:val="1D1F6F46"/>
    <w:multiLevelType w:val="multilevel"/>
    <w:tmpl w:val="329E1D1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8" w15:restartNumberingAfterBreak="0">
    <w:nsid w:val="27162B57"/>
    <w:multiLevelType w:val="multilevel"/>
    <w:tmpl w:val="B64E423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9" w15:restartNumberingAfterBreak="0">
    <w:nsid w:val="2DA012E3"/>
    <w:multiLevelType w:val="multilevel"/>
    <w:tmpl w:val="77BCC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0" w15:restartNumberingAfterBreak="0">
    <w:nsid w:val="38C64CCC"/>
    <w:multiLevelType w:val="multilevel"/>
    <w:tmpl w:val="F3C2DA2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1" w15:restartNumberingAfterBreak="0">
    <w:nsid w:val="3C2228FB"/>
    <w:multiLevelType w:val="multilevel"/>
    <w:tmpl w:val="A0E638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459D487E"/>
    <w:multiLevelType w:val="multilevel"/>
    <w:tmpl w:val="A83444F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3"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25D0D8E"/>
    <w:multiLevelType w:val="multilevel"/>
    <w:tmpl w:val="741E15C4"/>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5" w15:restartNumberingAfterBreak="0">
    <w:nsid w:val="54F80244"/>
    <w:multiLevelType w:val="multilevel"/>
    <w:tmpl w:val="1B4E044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54FD3D66"/>
    <w:multiLevelType w:val="multilevel"/>
    <w:tmpl w:val="7326E69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59C225A4"/>
    <w:multiLevelType w:val="multilevel"/>
    <w:tmpl w:val="74C41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2D1B3D"/>
    <w:multiLevelType w:val="multilevel"/>
    <w:tmpl w:val="4934D64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6841419B"/>
    <w:multiLevelType w:val="multilevel"/>
    <w:tmpl w:val="43AEEF9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2" w15:restartNumberingAfterBreak="0">
    <w:nsid w:val="6D0A54C0"/>
    <w:multiLevelType w:val="multilevel"/>
    <w:tmpl w:val="239A0D9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3" w15:restartNumberingAfterBreak="0">
    <w:nsid w:val="7B68161A"/>
    <w:multiLevelType w:val="multilevel"/>
    <w:tmpl w:val="3BF0B4C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num w:numId="1" w16cid:durableId="488638317">
    <w:abstractNumId w:val="18"/>
  </w:num>
  <w:num w:numId="2" w16cid:durableId="2104910615">
    <w:abstractNumId w:val="19"/>
  </w:num>
  <w:num w:numId="3" w16cid:durableId="1981960688">
    <w:abstractNumId w:val="0"/>
  </w:num>
  <w:num w:numId="4" w16cid:durableId="105732570">
    <w:abstractNumId w:val="17"/>
  </w:num>
  <w:num w:numId="5" w16cid:durableId="338657181">
    <w:abstractNumId w:val="23"/>
  </w:num>
  <w:num w:numId="6" w16cid:durableId="41179980">
    <w:abstractNumId w:val="14"/>
  </w:num>
  <w:num w:numId="7" w16cid:durableId="1151562178">
    <w:abstractNumId w:val="11"/>
  </w:num>
  <w:num w:numId="8" w16cid:durableId="981468607">
    <w:abstractNumId w:val="16"/>
  </w:num>
  <w:num w:numId="9" w16cid:durableId="1225720587">
    <w:abstractNumId w:val="8"/>
  </w:num>
  <w:num w:numId="10" w16cid:durableId="1442217276">
    <w:abstractNumId w:val="12"/>
  </w:num>
  <w:num w:numId="11" w16cid:durableId="796483540">
    <w:abstractNumId w:val="22"/>
  </w:num>
  <w:num w:numId="12" w16cid:durableId="604846704">
    <w:abstractNumId w:val="1"/>
  </w:num>
  <w:num w:numId="13" w16cid:durableId="2002810838">
    <w:abstractNumId w:val="4"/>
  </w:num>
  <w:num w:numId="14" w16cid:durableId="184294133">
    <w:abstractNumId w:val="2"/>
  </w:num>
  <w:num w:numId="15" w16cid:durableId="1656298043">
    <w:abstractNumId w:val="9"/>
  </w:num>
  <w:num w:numId="16" w16cid:durableId="14842854">
    <w:abstractNumId w:val="7"/>
  </w:num>
  <w:num w:numId="17" w16cid:durableId="320354950">
    <w:abstractNumId w:val="6"/>
  </w:num>
  <w:num w:numId="18" w16cid:durableId="158734108">
    <w:abstractNumId w:val="20"/>
  </w:num>
  <w:num w:numId="19" w16cid:durableId="1749767581">
    <w:abstractNumId w:val="3"/>
  </w:num>
  <w:num w:numId="20" w16cid:durableId="1678651427">
    <w:abstractNumId w:val="10"/>
  </w:num>
  <w:num w:numId="21" w16cid:durableId="1343892701">
    <w:abstractNumId w:val="21"/>
  </w:num>
  <w:num w:numId="22" w16cid:durableId="1924296710">
    <w:abstractNumId w:val="5"/>
  </w:num>
  <w:num w:numId="23" w16cid:durableId="1182008384">
    <w:abstractNumId w:val="15"/>
  </w:num>
  <w:num w:numId="24" w16cid:durableId="687565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23433"/>
    <w:rsid w:val="00031C6C"/>
    <w:rsid w:val="0009325C"/>
    <w:rsid w:val="000A4D84"/>
    <w:rsid w:val="000D0CD9"/>
    <w:rsid w:val="000D1EE8"/>
    <w:rsid w:val="000D4FFB"/>
    <w:rsid w:val="00122EA0"/>
    <w:rsid w:val="00137CE0"/>
    <w:rsid w:val="00146C4A"/>
    <w:rsid w:val="00160E7B"/>
    <w:rsid w:val="001D2971"/>
    <w:rsid w:val="001E72D9"/>
    <w:rsid w:val="001F22F6"/>
    <w:rsid w:val="00203448"/>
    <w:rsid w:val="00241CA7"/>
    <w:rsid w:val="00262137"/>
    <w:rsid w:val="00263AC4"/>
    <w:rsid w:val="00272CC3"/>
    <w:rsid w:val="002817C0"/>
    <w:rsid w:val="00290ADA"/>
    <w:rsid w:val="002A05B5"/>
    <w:rsid w:val="002A486F"/>
    <w:rsid w:val="002D0E95"/>
    <w:rsid w:val="002D36AD"/>
    <w:rsid w:val="002F0660"/>
    <w:rsid w:val="002F0B6E"/>
    <w:rsid w:val="00314F79"/>
    <w:rsid w:val="00317431"/>
    <w:rsid w:val="0035019B"/>
    <w:rsid w:val="0036058E"/>
    <w:rsid w:val="00371212"/>
    <w:rsid w:val="00377C89"/>
    <w:rsid w:val="0038033F"/>
    <w:rsid w:val="00395ECD"/>
    <w:rsid w:val="003B5DA1"/>
    <w:rsid w:val="003B61EE"/>
    <w:rsid w:val="003D534C"/>
    <w:rsid w:val="003F10DB"/>
    <w:rsid w:val="00417C83"/>
    <w:rsid w:val="00443332"/>
    <w:rsid w:val="0045764F"/>
    <w:rsid w:val="00465EA6"/>
    <w:rsid w:val="00473774"/>
    <w:rsid w:val="00480A65"/>
    <w:rsid w:val="004A17DD"/>
    <w:rsid w:val="004A2A15"/>
    <w:rsid w:val="004C48B2"/>
    <w:rsid w:val="005003FE"/>
    <w:rsid w:val="00501476"/>
    <w:rsid w:val="0051089B"/>
    <w:rsid w:val="00527AA3"/>
    <w:rsid w:val="00544264"/>
    <w:rsid w:val="00567B21"/>
    <w:rsid w:val="00575E4F"/>
    <w:rsid w:val="005F3E18"/>
    <w:rsid w:val="00625638"/>
    <w:rsid w:val="0064088F"/>
    <w:rsid w:val="0066755A"/>
    <w:rsid w:val="006B0AED"/>
    <w:rsid w:val="006B4D4D"/>
    <w:rsid w:val="006C6876"/>
    <w:rsid w:val="00733206"/>
    <w:rsid w:val="00751364"/>
    <w:rsid w:val="0076408D"/>
    <w:rsid w:val="0077786F"/>
    <w:rsid w:val="00797671"/>
    <w:rsid w:val="007E4ACA"/>
    <w:rsid w:val="00817057"/>
    <w:rsid w:val="00830C94"/>
    <w:rsid w:val="008327F7"/>
    <w:rsid w:val="00842A2A"/>
    <w:rsid w:val="00860184"/>
    <w:rsid w:val="008A2F96"/>
    <w:rsid w:val="008A31EB"/>
    <w:rsid w:val="008A3CB3"/>
    <w:rsid w:val="008D1F88"/>
    <w:rsid w:val="008D328E"/>
    <w:rsid w:val="008D382F"/>
    <w:rsid w:val="008F65C1"/>
    <w:rsid w:val="00902220"/>
    <w:rsid w:val="00911FD8"/>
    <w:rsid w:val="0091511E"/>
    <w:rsid w:val="0093366F"/>
    <w:rsid w:val="0097320D"/>
    <w:rsid w:val="009C3FCF"/>
    <w:rsid w:val="009C57F4"/>
    <w:rsid w:val="009C7E7E"/>
    <w:rsid w:val="009E161D"/>
    <w:rsid w:val="00A00CF2"/>
    <w:rsid w:val="00A35161"/>
    <w:rsid w:val="00A355D4"/>
    <w:rsid w:val="00A43F84"/>
    <w:rsid w:val="00A4737E"/>
    <w:rsid w:val="00A60625"/>
    <w:rsid w:val="00A6610D"/>
    <w:rsid w:val="00AA5093"/>
    <w:rsid w:val="00AB455A"/>
    <w:rsid w:val="00AC4006"/>
    <w:rsid w:val="00AC7CC9"/>
    <w:rsid w:val="00AE7B10"/>
    <w:rsid w:val="00B059ED"/>
    <w:rsid w:val="00B27424"/>
    <w:rsid w:val="00B85098"/>
    <w:rsid w:val="00B9505F"/>
    <w:rsid w:val="00BA24A8"/>
    <w:rsid w:val="00BA2F3E"/>
    <w:rsid w:val="00C316D2"/>
    <w:rsid w:val="00C5071C"/>
    <w:rsid w:val="00C55805"/>
    <w:rsid w:val="00C93068"/>
    <w:rsid w:val="00C956DE"/>
    <w:rsid w:val="00C975E9"/>
    <w:rsid w:val="00CA6FDE"/>
    <w:rsid w:val="00CB37B9"/>
    <w:rsid w:val="00CD3A63"/>
    <w:rsid w:val="00CE2E56"/>
    <w:rsid w:val="00CE729C"/>
    <w:rsid w:val="00CF08F2"/>
    <w:rsid w:val="00CF74EB"/>
    <w:rsid w:val="00D33DDE"/>
    <w:rsid w:val="00DC58B7"/>
    <w:rsid w:val="00DF14BF"/>
    <w:rsid w:val="00E01B9F"/>
    <w:rsid w:val="00E13709"/>
    <w:rsid w:val="00E56AB6"/>
    <w:rsid w:val="00E63D6A"/>
    <w:rsid w:val="00E90765"/>
    <w:rsid w:val="00F02B4F"/>
    <w:rsid w:val="00F512A1"/>
    <w:rsid w:val="00F63C69"/>
    <w:rsid w:val="00FB4391"/>
    <w:rsid w:val="061E6C34"/>
    <w:rsid w:val="0D86C3FB"/>
    <w:rsid w:val="13006201"/>
    <w:rsid w:val="1690D679"/>
    <w:rsid w:val="3508D811"/>
    <w:rsid w:val="3B32A1FA"/>
    <w:rsid w:val="4C17D2DC"/>
    <w:rsid w:val="54883CC4"/>
    <w:rsid w:val="5D7DD3B8"/>
    <w:rsid w:val="5E644D37"/>
    <w:rsid w:val="62E91EC9"/>
    <w:rsid w:val="7240973E"/>
    <w:rsid w:val="7C4A75C2"/>
    <w:rsid w:val="7D09D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440868F3-31A0-A74A-9B79-34F47A0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paragraph" w:styleId="TOC1">
    <w:name w:val="toc 1"/>
    <w:basedOn w:val="Normal"/>
    <w:next w:val="Normal"/>
    <w:uiPriority w:val="39"/>
    <w:unhideWhenUsed/>
    <w:rsid w:val="4C17D2DC"/>
    <w:pPr>
      <w:spacing w:after="100"/>
    </w:pPr>
  </w:style>
  <w:style w:type="character" w:styleId="Hyperlink">
    <w:name w:val="Hyperlink"/>
    <w:basedOn w:val="DefaultParagraphFont"/>
    <w:uiPriority w:val="99"/>
    <w:unhideWhenUsed/>
    <w:rsid w:val="4C17D2DC"/>
    <w:rPr>
      <w:color w:val="0563C1"/>
      <w:u w:val="single"/>
    </w:rPr>
  </w:style>
  <w:style w:type="paragraph" w:styleId="TOC2">
    <w:name w:val="toc 2"/>
    <w:basedOn w:val="Normal"/>
    <w:next w:val="Normal"/>
    <w:uiPriority w:val="39"/>
    <w:unhideWhenUsed/>
    <w:rsid w:val="4C17D2DC"/>
    <w:pPr>
      <w:spacing w:after="100"/>
      <w:ind w:left="220"/>
    </w:pPr>
  </w:style>
  <w:style w:type="paragraph" w:styleId="TOC3">
    <w:name w:val="toc 3"/>
    <w:basedOn w:val="Normal"/>
    <w:next w:val="Normal"/>
    <w:uiPriority w:val="39"/>
    <w:unhideWhenUsed/>
    <w:rsid w:val="4C17D2DC"/>
    <w:pPr>
      <w:spacing w:after="100"/>
      <w:ind w:left="440"/>
    </w:pPr>
  </w:style>
  <w:style w:type="paragraph" w:styleId="ListBullet">
    <w:name w:val="List Bullet"/>
    <w:qFormat/>
    <w:rsid w:val="00314F79"/>
    <w:pPr>
      <w:numPr>
        <w:numId w:val="1"/>
      </w:numPr>
      <w:spacing w:before="60" w:after="60" w:line="276" w:lineRule="auto"/>
    </w:pPr>
    <w:rPr>
      <w:rFonts w:ascii="Arial" w:eastAsia="Times New Roman" w:hAnsi="Arial" w:cs="Times New Roman"/>
      <w:snapToGrid w:val="0"/>
      <w:sz w:val="22"/>
      <w:lang w:eastAsia="en-AU"/>
    </w:rPr>
  </w:style>
  <w:style w:type="paragraph" w:styleId="ListNumber">
    <w:name w:val="List Number"/>
    <w:aliases w:val="Numbered level 1"/>
    <w:basedOn w:val="Normal"/>
    <w:rsid w:val="00314F79"/>
    <w:pPr>
      <w:numPr>
        <w:ilvl w:val="5"/>
        <w:numId w:val="2"/>
      </w:numPr>
      <w:spacing w:before="60" w:after="60" w:line="276" w:lineRule="auto"/>
    </w:pPr>
    <w:rPr>
      <w:rFonts w:eastAsia="Times New Roman" w:cs="Times New Roman"/>
      <w:color w:val="000000"/>
      <w:lang w:eastAsia="en-AU"/>
    </w:rPr>
  </w:style>
  <w:style w:type="paragraph" w:customStyle="1" w:styleId="NoHeading1">
    <w:name w:val="No. Heading 1"/>
    <w:basedOn w:val="Heading1"/>
    <w:next w:val="BodyText"/>
    <w:rsid w:val="00314F79"/>
    <w:pPr>
      <w:keepLines w:val="0"/>
      <w:numPr>
        <w:numId w:val="2"/>
      </w:numPr>
      <w:spacing w:after="240"/>
    </w:pPr>
    <w:rPr>
      <w:rFonts w:eastAsia="Times New Roman" w:cs="Times New Roman"/>
      <w:color w:val="ED7D31" w:themeColor="accent2"/>
      <w:szCs w:val="24"/>
      <w:lang w:eastAsia="en-AU"/>
    </w:rPr>
  </w:style>
  <w:style w:type="paragraph" w:customStyle="1" w:styleId="NoHeading2">
    <w:name w:val="No. Heading 2"/>
    <w:basedOn w:val="Heading2"/>
    <w:next w:val="BodyText"/>
    <w:rsid w:val="00314F79"/>
    <w:pPr>
      <w:keepLines w:val="0"/>
      <w:numPr>
        <w:ilvl w:val="1"/>
        <w:numId w:val="2"/>
      </w:numPr>
    </w:pPr>
    <w:rPr>
      <w:rFonts w:eastAsia="Times New Roman" w:cs="Times New Roman"/>
      <w:color w:val="ED7D31" w:themeColor="accent2"/>
      <w:sz w:val="32"/>
      <w:szCs w:val="24"/>
      <w:lang w:eastAsia="en-AU"/>
    </w:rPr>
  </w:style>
  <w:style w:type="paragraph" w:customStyle="1" w:styleId="TableRef">
    <w:name w:val="Table Ref"/>
    <w:basedOn w:val="Normal"/>
    <w:next w:val="BodyText"/>
    <w:rsid w:val="00314F79"/>
    <w:pPr>
      <w:numPr>
        <w:ilvl w:val="4"/>
        <w:numId w:val="2"/>
      </w:numPr>
      <w:spacing w:before="120"/>
    </w:pPr>
    <w:rPr>
      <w:rFonts w:eastAsia="Times New Roman" w:cs="Times New Roman"/>
      <w:b/>
      <w:sz w:val="20"/>
      <w:szCs w:val="18"/>
      <w:lang w:eastAsia="en-AU"/>
    </w:rPr>
  </w:style>
  <w:style w:type="paragraph" w:customStyle="1" w:styleId="FigureRef">
    <w:name w:val="Figure Ref"/>
    <w:basedOn w:val="TableRef"/>
    <w:next w:val="BodyText"/>
    <w:rsid w:val="00314F79"/>
    <w:pPr>
      <w:numPr>
        <w:ilvl w:val="3"/>
      </w:numPr>
    </w:pPr>
  </w:style>
  <w:style w:type="paragraph" w:customStyle="1" w:styleId="NoHeading3">
    <w:name w:val="No. Heading 3"/>
    <w:basedOn w:val="Heading3"/>
    <w:next w:val="BodyText"/>
    <w:rsid w:val="00314F79"/>
    <w:pPr>
      <w:keepLines w:val="0"/>
      <w:numPr>
        <w:ilvl w:val="2"/>
        <w:numId w:val="2"/>
      </w:numPr>
      <w:pBdr>
        <w:top w:val="single" w:sz="12" w:space="4" w:color="4472C4" w:themeColor="accent1"/>
      </w:pBdr>
      <w:spacing w:before="160"/>
    </w:pPr>
    <w:rPr>
      <w:rFonts w:eastAsia="Times New Roman" w:cs="Times New Roman"/>
      <w:b/>
      <w:color w:val="000000" w:themeColor="text1"/>
      <w:sz w:val="28"/>
      <w:szCs w:val="24"/>
      <w:lang w:eastAsia="en-AU"/>
    </w:rPr>
  </w:style>
  <w:style w:type="paragraph" w:customStyle="1" w:styleId="Bodycopy">
    <w:name w:val="Body copy"/>
    <w:basedOn w:val="Normal"/>
    <w:link w:val="BodycopyChar"/>
    <w:qFormat/>
    <w:rsid w:val="00314F79"/>
    <w:pPr>
      <w:keepNext/>
      <w:spacing w:before="240" w:after="240"/>
    </w:pPr>
    <w:rPr>
      <w:rFonts w:eastAsia="Times New Roman" w:cs="Times New Roman"/>
      <w:lang w:eastAsia="en-AU"/>
    </w:rPr>
  </w:style>
  <w:style w:type="character" w:customStyle="1" w:styleId="BodycopyChar">
    <w:name w:val="Body copy Char"/>
    <w:basedOn w:val="DefaultParagraphFont"/>
    <w:link w:val="Bodycopy"/>
    <w:rsid w:val="00314F79"/>
    <w:rPr>
      <w:rFonts w:ascii="Arial" w:eastAsia="Times New Roman" w:hAnsi="Arial" w:cs="Times New Roman"/>
      <w:sz w:val="22"/>
      <w:lang w:eastAsia="en-AU"/>
    </w:rPr>
  </w:style>
  <w:style w:type="paragraph" w:styleId="BodyText">
    <w:name w:val="Body Text"/>
    <w:basedOn w:val="Normal"/>
    <w:link w:val="BodyTextChar"/>
    <w:uiPriority w:val="99"/>
    <w:semiHidden/>
    <w:unhideWhenUsed/>
    <w:rsid w:val="00314F79"/>
  </w:style>
  <w:style w:type="character" w:customStyle="1" w:styleId="BodyTextChar">
    <w:name w:val="Body Text Char"/>
    <w:basedOn w:val="DefaultParagraphFont"/>
    <w:link w:val="BodyText"/>
    <w:uiPriority w:val="99"/>
    <w:semiHidden/>
    <w:rsid w:val="00314F79"/>
    <w:rPr>
      <w:rFonts w:ascii="Arial" w:hAnsi="Arial"/>
      <w:sz w:val="22"/>
    </w:rPr>
  </w:style>
  <w:style w:type="paragraph" w:customStyle="1" w:styleId="TableBullet">
    <w:name w:val="Table Bullet"/>
    <w:basedOn w:val="TableTextLeft"/>
    <w:rsid w:val="00BA2F3E"/>
    <w:pPr>
      <w:numPr>
        <w:numId w:val="24"/>
      </w:numPr>
      <w:tabs>
        <w:tab w:val="clear" w:pos="227"/>
        <w:tab w:val="num" w:pos="360"/>
      </w:tabs>
      <w:ind w:left="0" w:firstLine="0"/>
    </w:pPr>
  </w:style>
  <w:style w:type="paragraph" w:customStyle="1" w:styleId="TableTextLeft">
    <w:name w:val="Table Text Left"/>
    <w:basedOn w:val="Normal"/>
    <w:link w:val="TableTextLeftCharChar"/>
    <w:rsid w:val="00BA2F3E"/>
    <w:pPr>
      <w:spacing w:before="60" w:after="40"/>
    </w:pPr>
    <w:rPr>
      <w:rFonts w:eastAsia="MS Mincho" w:cs="Times New Roman"/>
      <w:sz w:val="20"/>
    </w:rPr>
  </w:style>
  <w:style w:type="character" w:customStyle="1" w:styleId="TableTextLeftCharChar">
    <w:name w:val="Table Text Left Char Char"/>
    <w:basedOn w:val="DefaultParagraphFont"/>
    <w:link w:val="TableTextLeft"/>
    <w:rsid w:val="00BA2F3E"/>
    <w:rPr>
      <w:rFonts w:ascii="Arial" w:eastAsia="MS Mincho" w:hAnsi="Arial" w:cs="Times New Roman"/>
      <w:sz w:val="20"/>
    </w:rPr>
  </w:style>
  <w:style w:type="paragraph" w:customStyle="1" w:styleId="TableHeadingLeft">
    <w:name w:val="Table Heading Left"/>
    <w:basedOn w:val="TableTextLeft"/>
    <w:rsid w:val="00BA2F3E"/>
    <w:rPr>
      <w:b/>
    </w:rPr>
  </w:style>
  <w:style w:type="table" w:styleId="ListTable3-Accent2">
    <w:name w:val="List Table 3 Accent 2"/>
    <w:basedOn w:val="TableNormal"/>
    <w:uiPriority w:val="48"/>
    <w:rsid w:val="00BA2F3E"/>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illsDisabilitySupport@desbt.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sbt.qld.gov.au/__data/assets/word_doc/0019/8074/sds-applicatio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bt.qld.gov.au/training/training-careers/support/disability/sds-learn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training/providers/inclusive" TargetMode="External"/><Relationship Id="rId5" Type="http://schemas.openxmlformats.org/officeDocument/2006/relationships/numbering" Target="numbering.xml"/><Relationship Id="rId15" Type="http://schemas.openxmlformats.org/officeDocument/2006/relationships/hyperlink" Target="mailto:SkillsDisabilitySupport@desbt.qld.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bt.qld.gov.au/__data/assets/pdf_file/0013/8050/sds-terms-of-us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a6d513ee-f771-4d67-ba0a-282864486c78">
      <Terms xmlns="http://schemas.microsoft.com/office/infopath/2007/PartnerControls"/>
    </lcf76f155ced4ddcb4097134ff3c332f>
    <_dlc_DocId xmlns="dbefc7fa-1a1d-4432-8b48-0661d01a2bf9">NER3HZ3QZUNC-2053068419-21953</_dlc_DocId>
    <_dlc_DocIdUrl xmlns="dbefc7fa-1a1d-4432-8b48-0661d01a2bf9">
      <Url>https://dsitiaqld.sharepoint.com/sites/DESBT/engagement/customer-experience/communications/_layouts/15/DocIdRedir.aspx?ID=NER3HZ3QZUNC-2053068419-21953</Url>
      <Description>NER3HZ3QZUNC-2053068419-21953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F2DADD5570B447AB905B429A0D4B9E" ma:contentTypeVersion="286" ma:contentTypeDescription="Create a new document." ma:contentTypeScope="" ma:versionID="ce8e2db73cf1df45d5ffda5c29f7f690">
  <xsd:schema xmlns:xsd="http://www.w3.org/2001/XMLSchema" xmlns:xs="http://www.w3.org/2001/XMLSchema" xmlns:p="http://schemas.microsoft.com/office/2006/metadata/properties" xmlns:ns2="dbefc7fa-1a1d-4432-8b48-0661d01a2bf9" xmlns:ns3="a6d513ee-f771-4d67-ba0a-282864486c78" xmlns:ns4="6fbbf639-a96b-4cb5-b890-7fc984a8433e" targetNamespace="http://schemas.microsoft.com/office/2006/metadata/properties" ma:root="true" ma:fieldsID="f3e4122303cc875181c60659e7e3ece5" ns2:_="" ns3:_="" ns4:_="">
    <xsd:import namespace="dbefc7fa-1a1d-4432-8b48-0661d01a2bf9"/>
    <xsd:import namespace="a6d513ee-f771-4d67-ba0a-282864486c78"/>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513ee-f771-4d67-ba0a-282864486c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A366A-5147-4927-8CCA-7FEAC7AE3CB0}">
  <ds:schemaRefs>
    <ds:schemaRef ds:uri="http://schemas.microsoft.com/sharepoint/events"/>
  </ds:schemaRefs>
</ds:datastoreItem>
</file>

<file path=customXml/itemProps2.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dbefc7fa-1a1d-4432-8b48-0661d01a2bf9"/>
    <ds:schemaRef ds:uri="a6d513ee-f771-4d67-ba0a-282864486c78"/>
  </ds:schemaRefs>
</ds:datastoreItem>
</file>

<file path=customXml/itemProps3.xml><?xml version="1.0" encoding="utf-8"?>
<ds:datastoreItem xmlns:ds="http://schemas.openxmlformats.org/officeDocument/2006/customXml" ds:itemID="{C72CEBE8-5AC2-478E-976D-A1AE8A3B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a6d513ee-f771-4d67-ba0a-282864486c78"/>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69C78-FD1E-4263-9A26-CC5B4C374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Skills Disability Support (SDS)</dc:title>
  <dc:subject/>
  <dc:creator>Queensland Governement</dc:creator>
  <cp:keywords/>
  <dc:description/>
  <cp:lastModifiedBy>Tersia Parsons</cp:lastModifiedBy>
  <cp:revision>2</cp:revision>
  <cp:lastPrinted>2025-02-21T02:43:00Z</cp:lastPrinted>
  <dcterms:created xsi:type="dcterms:W3CDTF">2025-09-08T05:32:00Z</dcterms:created>
  <dcterms:modified xsi:type="dcterms:W3CDTF">2025-09-08T05:32:00Z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0x010100DDF2DADD5570B447AB905B429A0D4B9E</vt:lpwstr>
  </property>
  <property fmtid="{D5CDD505-2E9C-101B-9397-08002B2CF9AE}" pid="3" name="_dlc_DocIdItemGuid">
    <vt:lpwstr>a38754eb-bcf2-4e35-a7b4-810bd1a81d61</vt:lpwstr>
  </property>
  <property fmtid="{D5CDD505-2E9C-101B-9397-08002B2CF9AE}" pid="4" name="MediaServiceImageTags">
    <vt:lpwstr/>
  </property>
</Properties>
</file>