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CA" w:rsidRPr="00F16FC7" w:rsidRDefault="00E22573" w:rsidP="001E78CA">
      <w:pPr>
        <w:pStyle w:val="Heading2"/>
        <w:spacing w:before="0"/>
        <w:rPr>
          <w:lang w:eastAsia="en-AU"/>
        </w:rPr>
      </w:pPr>
      <w:r>
        <w:rPr>
          <w:noProof/>
          <w:lang w:eastAsia="zh-TW"/>
        </w:rPr>
        <mc:AlternateContent>
          <mc:Choice Requires="wps">
            <w:drawing>
              <wp:anchor distT="0" distB="0" distL="114300" distR="114300" simplePos="0" relativeHeight="251659264" behindDoc="1" locked="0" layoutInCell="1" allowOverlap="1" wp14:anchorId="15FDA6C1" wp14:editId="3EF302B8">
                <wp:simplePos x="0" y="0"/>
                <wp:positionH relativeFrom="margin">
                  <wp:align>left</wp:align>
                </wp:positionH>
                <wp:positionV relativeFrom="page">
                  <wp:posOffset>695325</wp:posOffset>
                </wp:positionV>
                <wp:extent cx="9861550" cy="687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861550" cy="68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22573" w:rsidRPr="00190C24" w:rsidRDefault="007656FC" w:rsidP="00E22573">
                            <w:pPr>
                              <w:pStyle w:val="Heading1"/>
                            </w:pPr>
                            <w:r>
                              <w:t>National standards for group training organisations - Audits</w:t>
                            </w:r>
                          </w:p>
                          <w:p w:rsidR="00E22573" w:rsidRDefault="00E22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FDA6C1" id="_x0000_t202" coordsize="21600,21600" o:spt="202" path="m,l,21600r21600,l21600,xe">
                <v:stroke joinstyle="miter"/>
                <v:path gradientshapeok="t" o:connecttype="rect"/>
              </v:shapetype>
              <v:shape id="Text Box 1" o:spid="_x0000_s1026" type="#_x0000_t202" style="position:absolute;margin-left:0;margin-top:54.75pt;width:776.5pt;height:54.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" filled="f" stroked="f">
                <v:textbox>
                  <w:txbxContent>
                    <w:p w:rsidR="00E22573" w:rsidRPr="00190C24" w:rsidRDefault="007656FC" w:rsidP="00E22573">
                      <w:pPr>
                        <w:pStyle w:val="Heading1"/>
                      </w:pPr>
                      <w:r>
                        <w:t>National standards for group training organisations - Audits</w:t>
                      </w:r>
                    </w:p>
                    <w:p w:rsidR="00E22573" w:rsidRDefault="00E22573"/>
                  </w:txbxContent>
                </v:textbox>
                <w10:wrap anchorx="margin" anchory="page"/>
              </v:shape>
            </w:pict>
          </mc:Fallback>
        </mc:AlternateContent>
      </w:r>
    </w:p>
    <w:p w:rsidR="00B27731" w:rsidRPr="00B2066D" w:rsidRDefault="00B27731" w:rsidP="00B27731">
      <w:pPr>
        <w:pStyle w:val="BlockText"/>
        <w:tabs>
          <w:tab w:val="left" w:pos="11482"/>
        </w:tabs>
        <w:spacing w:after="0"/>
        <w:ind w:right="0"/>
        <w:jc w:val="right"/>
        <w:rPr>
          <w:rFonts w:cs="Arial"/>
          <w:sz w:val="16"/>
          <w:szCs w:val="16"/>
        </w:rPr>
      </w:pPr>
      <w:r>
        <w:rPr>
          <w:rFonts w:cs="Arial"/>
          <w:sz w:val="16"/>
          <w:szCs w:val="16"/>
        </w:rPr>
        <w:t>Version 8</w:t>
      </w:r>
    </w:p>
    <w:p w:rsidR="00B27731" w:rsidRPr="00BB2C2E" w:rsidRDefault="007656FC" w:rsidP="00B27731">
      <w:pPr>
        <w:pStyle w:val="BlockText"/>
        <w:spacing w:after="0"/>
        <w:ind w:right="0"/>
      </w:pPr>
      <w:bookmarkStart w:id="0" w:name="_GoBack"/>
      <w:r w:rsidRPr="00AD2F80">
        <w:rPr>
          <w:b/>
          <w:sz w:val="28"/>
          <w:szCs w:val="28"/>
        </w:rPr>
        <w:t xml:space="preserve">Criteria for desk based </w:t>
      </w:r>
      <w:r w:rsidR="00AD2F80" w:rsidRPr="00AD2F80">
        <w:rPr>
          <w:b/>
          <w:sz w:val="28"/>
          <w:szCs w:val="28"/>
        </w:rPr>
        <w:t>audit</w:t>
      </w:r>
      <w:bookmarkEnd w:id="0"/>
      <w:r w:rsidRPr="00AD2F80">
        <w:rPr>
          <w:b/>
          <w:sz w:val="28"/>
          <w:szCs w:val="28"/>
        </w:rPr>
        <w:tab/>
      </w:r>
      <w:r w:rsidR="00AD2F80">
        <w:tab/>
      </w:r>
      <w:r w:rsidR="00AD2F80">
        <w:tab/>
      </w:r>
      <w:r w:rsidR="00AD2F80">
        <w:tab/>
      </w:r>
      <w:r w:rsidR="00AD2F80">
        <w:tab/>
      </w:r>
      <w:r>
        <w:tab/>
      </w:r>
      <w:r>
        <w:tab/>
      </w:r>
      <w:r>
        <w:tab/>
      </w:r>
      <w:r>
        <w:tab/>
      </w:r>
      <w:r>
        <w:tab/>
      </w:r>
      <w:r>
        <w:tab/>
      </w:r>
      <w:r>
        <w:tab/>
      </w:r>
      <w:r w:rsidR="00B27731">
        <w:tab/>
      </w:r>
      <w:r w:rsidR="00B27731">
        <w:tab/>
        <w:t xml:space="preserve">         </w:t>
      </w:r>
      <w:r w:rsidR="00285054">
        <w:rPr>
          <w:rFonts w:cs="Arial"/>
          <w:sz w:val="16"/>
          <w:szCs w:val="16"/>
        </w:rPr>
        <w:t>December</w:t>
      </w:r>
      <w:r w:rsidR="00B27731">
        <w:rPr>
          <w:rFonts w:cs="Arial"/>
          <w:sz w:val="16"/>
          <w:szCs w:val="16"/>
        </w:rPr>
        <w:t xml:space="preserve"> 2018</w:t>
      </w:r>
    </w:p>
    <w:p w:rsidR="00B27731" w:rsidRPr="00C56989" w:rsidRDefault="00B27731" w:rsidP="00B27731">
      <w:pPr>
        <w:pStyle w:val="BlockText"/>
        <w:tabs>
          <w:tab w:val="left" w:pos="11482"/>
        </w:tabs>
        <w:spacing w:after="0"/>
        <w:ind w:right="320"/>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p>
    <w:p w:rsidR="00B27731" w:rsidRPr="00B96DC2" w:rsidRDefault="00AD2F80" w:rsidP="00B27731">
      <w:pPr>
        <w:pStyle w:val="BlockText"/>
        <w:spacing w:after="0"/>
        <w:ind w:right="0"/>
        <w:rPr>
          <w:b/>
          <w:sz w:val="24"/>
          <w:szCs w:val="28"/>
        </w:rPr>
      </w:pPr>
      <w:r w:rsidRPr="00B96DC2">
        <w:rPr>
          <w:b/>
          <w:sz w:val="24"/>
          <w:szCs w:val="28"/>
        </w:rPr>
        <w:t xml:space="preserve">Standard 1 </w:t>
      </w:r>
      <w:r w:rsidR="00B96DC2" w:rsidRPr="00B96DC2">
        <w:rPr>
          <w:b/>
          <w:sz w:val="24"/>
          <w:szCs w:val="28"/>
        </w:rPr>
        <w:t xml:space="preserve">- </w:t>
      </w:r>
      <w:r w:rsidRPr="00B96DC2">
        <w:rPr>
          <w:b/>
          <w:sz w:val="24"/>
          <w:szCs w:val="28"/>
        </w:rPr>
        <w:t>Recruitment, employment and induction</w:t>
      </w:r>
    </w:p>
    <w:p w:rsidR="00AD2F80" w:rsidRPr="00BB2C2E" w:rsidRDefault="00AD2F80" w:rsidP="00B27731">
      <w:pPr>
        <w:pStyle w:val="BlockText"/>
        <w:spacing w:after="0"/>
        <w:ind w:right="0"/>
        <w:rPr>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6662"/>
        <w:gridCol w:w="2637"/>
      </w:tblGrid>
      <w:tr w:rsidR="007656FC" w:rsidRPr="007B6EA3" w:rsidTr="008F068E">
        <w:tc>
          <w:tcPr>
            <w:tcW w:w="6096" w:type="dxa"/>
            <w:shd w:val="clear" w:color="auto" w:fill="D9D9D9" w:themeFill="background1" w:themeFillShade="D9"/>
          </w:tcPr>
          <w:p w:rsidR="007656FC" w:rsidRPr="000E244C" w:rsidRDefault="007656FC" w:rsidP="00FA52EF">
            <w:pPr>
              <w:pStyle w:val="BlockText"/>
              <w:tabs>
                <w:tab w:val="left" w:pos="285"/>
                <w:tab w:val="center" w:pos="431"/>
              </w:tabs>
              <w:spacing w:after="0"/>
              <w:ind w:right="0"/>
              <w:jc w:val="center"/>
              <w:rPr>
                <w:b/>
              </w:rPr>
            </w:pPr>
            <w:r>
              <w:rPr>
                <w:b/>
              </w:rPr>
              <w:t>Standard</w:t>
            </w:r>
          </w:p>
        </w:tc>
        <w:tc>
          <w:tcPr>
            <w:tcW w:w="6662" w:type="dxa"/>
            <w:shd w:val="clear" w:color="auto" w:fill="D9D9D9" w:themeFill="background1" w:themeFillShade="D9"/>
          </w:tcPr>
          <w:p w:rsidR="007656FC" w:rsidRPr="000E244C" w:rsidRDefault="007656FC" w:rsidP="00FA52EF">
            <w:pPr>
              <w:pStyle w:val="BlockText"/>
              <w:spacing w:after="0"/>
              <w:ind w:right="0"/>
              <w:jc w:val="center"/>
              <w:rPr>
                <w:b/>
              </w:rPr>
            </w:pPr>
            <w:r>
              <w:rPr>
                <w:b/>
              </w:rPr>
              <w:t>Evidence</w:t>
            </w:r>
          </w:p>
        </w:tc>
        <w:tc>
          <w:tcPr>
            <w:tcW w:w="2637" w:type="dxa"/>
            <w:shd w:val="clear" w:color="auto" w:fill="D9D9D9" w:themeFill="background1" w:themeFillShade="D9"/>
          </w:tcPr>
          <w:p w:rsidR="000F0889" w:rsidRPr="000F0889" w:rsidRDefault="000F0889" w:rsidP="00FA52EF">
            <w:pPr>
              <w:pStyle w:val="BlockText"/>
              <w:spacing w:after="0"/>
              <w:ind w:right="0"/>
              <w:jc w:val="center"/>
              <w:rPr>
                <w:b/>
                <w:lang w:val="fr-FR"/>
              </w:rPr>
            </w:pPr>
            <w:r w:rsidRPr="000F0889">
              <w:rPr>
                <w:b/>
                <w:lang w:val="fr-FR"/>
              </w:rPr>
              <w:t>Compliant</w:t>
            </w:r>
            <w:r w:rsidR="007656FC" w:rsidRPr="000F0889">
              <w:rPr>
                <w:b/>
                <w:lang w:val="fr-FR"/>
              </w:rPr>
              <w:t xml:space="preserve"> (COM)</w:t>
            </w:r>
            <w:r w:rsidR="008F4A27">
              <w:rPr>
                <w:b/>
                <w:lang w:val="fr-FR"/>
              </w:rPr>
              <w:t xml:space="preserve"> /</w:t>
            </w:r>
          </w:p>
          <w:p w:rsidR="007656FC" w:rsidRPr="000F0889" w:rsidRDefault="007656FC" w:rsidP="00FA52EF">
            <w:pPr>
              <w:pStyle w:val="BlockText"/>
              <w:spacing w:after="0"/>
              <w:ind w:right="0"/>
              <w:jc w:val="center"/>
              <w:rPr>
                <w:b/>
                <w:lang w:val="fr-FR"/>
              </w:rPr>
            </w:pPr>
            <w:r w:rsidRPr="000F0889">
              <w:rPr>
                <w:b/>
                <w:lang w:val="fr-FR"/>
              </w:rPr>
              <w:t>Non compliant</w:t>
            </w:r>
            <w:r w:rsidR="000F0889" w:rsidRPr="000F0889">
              <w:rPr>
                <w:b/>
                <w:lang w:val="fr-FR"/>
              </w:rPr>
              <w:t xml:space="preserve"> (NC)</w:t>
            </w:r>
          </w:p>
        </w:tc>
      </w:tr>
      <w:tr w:rsidR="007656FC" w:rsidRPr="00684229" w:rsidTr="008F068E">
        <w:tc>
          <w:tcPr>
            <w:tcW w:w="6096" w:type="dxa"/>
            <w:shd w:val="clear" w:color="auto" w:fill="auto"/>
          </w:tcPr>
          <w:p w:rsidR="007656FC" w:rsidRPr="00684229" w:rsidRDefault="007656FC" w:rsidP="007656FC">
            <w:pPr>
              <w:pStyle w:val="BlockText"/>
              <w:numPr>
                <w:ilvl w:val="1"/>
                <w:numId w:val="10"/>
              </w:numPr>
              <w:ind w:right="0"/>
              <w:jc w:val="both"/>
            </w:pPr>
            <w:r w:rsidRPr="001A140C">
              <w:rPr>
                <w:rFonts w:cs="Arial"/>
              </w:rPr>
              <w:t>Before apprentices/trainees enter into an Employment Contract and a Training Contract, the GTO informs them about their employment conditions, the host employer arrangement, the training, the support services to be provided and the rights and obligations of the parties.</w:t>
            </w:r>
          </w:p>
        </w:tc>
        <w:tc>
          <w:tcPr>
            <w:tcW w:w="6662" w:type="dxa"/>
            <w:shd w:val="clear" w:color="auto" w:fill="auto"/>
          </w:tcPr>
          <w:p w:rsidR="007656FC" w:rsidRPr="00684229" w:rsidRDefault="007656FC" w:rsidP="00A72579">
            <w:pPr>
              <w:pStyle w:val="BlockText"/>
              <w:ind w:right="0"/>
            </w:pPr>
          </w:p>
        </w:tc>
        <w:tc>
          <w:tcPr>
            <w:tcW w:w="2637" w:type="dxa"/>
            <w:shd w:val="clear" w:color="auto" w:fill="auto"/>
          </w:tcPr>
          <w:p w:rsidR="007656FC" w:rsidRPr="00684229" w:rsidRDefault="007656FC" w:rsidP="00A72579">
            <w:pPr>
              <w:pStyle w:val="BlockText"/>
              <w:ind w:right="0"/>
            </w:pPr>
          </w:p>
        </w:tc>
      </w:tr>
      <w:tr w:rsidR="007656FC" w:rsidRPr="00684229" w:rsidTr="008F068E">
        <w:tc>
          <w:tcPr>
            <w:tcW w:w="6096" w:type="dxa"/>
            <w:shd w:val="clear" w:color="auto" w:fill="auto"/>
          </w:tcPr>
          <w:p w:rsidR="007656FC" w:rsidRPr="001A140C" w:rsidRDefault="007656FC" w:rsidP="007656FC">
            <w:pPr>
              <w:pStyle w:val="BlockText"/>
              <w:numPr>
                <w:ilvl w:val="1"/>
                <w:numId w:val="10"/>
              </w:numPr>
              <w:ind w:right="0"/>
              <w:jc w:val="both"/>
              <w:rPr>
                <w:rFonts w:cs="Arial"/>
              </w:rPr>
            </w:pPr>
            <w:r w:rsidRPr="001A140C">
              <w:rPr>
                <w:rFonts w:cs="Arial"/>
              </w:rPr>
              <w:t>The GTO inducts apprentices and trainees to the apprentice/traineeship system, including explaining:</w:t>
            </w:r>
          </w:p>
          <w:p w:rsidR="007656FC" w:rsidRPr="001A140C" w:rsidRDefault="007656FC" w:rsidP="007656FC">
            <w:pPr>
              <w:pStyle w:val="BlockText"/>
              <w:numPr>
                <w:ilvl w:val="3"/>
                <w:numId w:val="8"/>
              </w:numPr>
              <w:ind w:left="1051" w:right="0"/>
              <w:jc w:val="both"/>
              <w:rPr>
                <w:rFonts w:cs="Arial"/>
              </w:rPr>
            </w:pPr>
            <w:r w:rsidRPr="001A140C">
              <w:rPr>
                <w:rFonts w:cs="Arial"/>
              </w:rPr>
              <w:t>the apprentice/trainee’s responsibilities under the Training Contract, to the host employer, the GTO, the RTO and the school (if under School-based arrangements); as well as</w:t>
            </w:r>
          </w:p>
          <w:p w:rsidR="007656FC" w:rsidRPr="00684229" w:rsidRDefault="007656FC" w:rsidP="007656FC">
            <w:pPr>
              <w:pStyle w:val="BlockText"/>
              <w:numPr>
                <w:ilvl w:val="0"/>
                <w:numId w:val="8"/>
              </w:numPr>
              <w:ind w:right="0"/>
              <w:jc w:val="both"/>
            </w:pPr>
            <w:proofErr w:type="gramStart"/>
            <w:r w:rsidRPr="001A140C">
              <w:rPr>
                <w:rFonts w:cs="Arial"/>
              </w:rPr>
              <w:t>the</w:t>
            </w:r>
            <w:proofErr w:type="gramEnd"/>
            <w:r w:rsidRPr="001A140C">
              <w:rPr>
                <w:rFonts w:cs="Arial"/>
              </w:rPr>
              <w:t xml:space="preserve"> processes involved in accessing support and dealing with employment or training issues that may arise.</w:t>
            </w:r>
          </w:p>
        </w:tc>
        <w:tc>
          <w:tcPr>
            <w:tcW w:w="6662" w:type="dxa"/>
            <w:shd w:val="clear" w:color="auto" w:fill="auto"/>
          </w:tcPr>
          <w:p w:rsidR="007656FC" w:rsidRPr="00684229" w:rsidRDefault="007656FC" w:rsidP="00A72579">
            <w:pPr>
              <w:pStyle w:val="BlockText"/>
              <w:ind w:right="0"/>
            </w:pPr>
          </w:p>
        </w:tc>
        <w:tc>
          <w:tcPr>
            <w:tcW w:w="2637" w:type="dxa"/>
            <w:shd w:val="clear" w:color="auto" w:fill="auto"/>
          </w:tcPr>
          <w:p w:rsidR="007656FC" w:rsidRPr="00684229" w:rsidRDefault="007656FC" w:rsidP="00A72579">
            <w:pPr>
              <w:pStyle w:val="BlockText"/>
              <w:ind w:right="0"/>
            </w:pPr>
          </w:p>
        </w:tc>
      </w:tr>
    </w:tbl>
    <w:p w:rsidR="00B27731" w:rsidRDefault="00B27731" w:rsidP="00B27731">
      <w:pPr>
        <w:pStyle w:val="BlockText"/>
        <w:spacing w:after="0"/>
        <w:ind w:right="0"/>
      </w:pPr>
    </w:p>
    <w:p w:rsidR="007656FC" w:rsidRDefault="007656FC">
      <w: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662"/>
        <w:gridCol w:w="2835"/>
      </w:tblGrid>
      <w:tr w:rsidR="00C33DF9" w:rsidRPr="007B6EA3" w:rsidTr="00C33DF9">
        <w:tc>
          <w:tcPr>
            <w:tcW w:w="6091" w:type="dxa"/>
            <w:shd w:val="clear" w:color="auto" w:fill="D9D9D9" w:themeFill="background1" w:themeFillShade="D9"/>
          </w:tcPr>
          <w:p w:rsidR="00C33DF9" w:rsidRPr="000E244C" w:rsidRDefault="00C33DF9" w:rsidP="00FA52EF">
            <w:pPr>
              <w:pStyle w:val="BlockText"/>
              <w:tabs>
                <w:tab w:val="left" w:pos="285"/>
                <w:tab w:val="center" w:pos="431"/>
              </w:tabs>
              <w:spacing w:after="0"/>
              <w:ind w:right="0"/>
              <w:jc w:val="center"/>
              <w:rPr>
                <w:b/>
              </w:rPr>
            </w:pPr>
            <w:r>
              <w:rPr>
                <w:b/>
              </w:rPr>
              <w:lastRenderedPageBreak/>
              <w:t>Standard</w:t>
            </w:r>
          </w:p>
        </w:tc>
        <w:tc>
          <w:tcPr>
            <w:tcW w:w="6662" w:type="dxa"/>
            <w:shd w:val="clear" w:color="auto" w:fill="D9D9D9" w:themeFill="background1" w:themeFillShade="D9"/>
          </w:tcPr>
          <w:p w:rsidR="00C33DF9" w:rsidRPr="000E244C" w:rsidRDefault="00C33DF9" w:rsidP="00FA52EF">
            <w:pPr>
              <w:pStyle w:val="BlockText"/>
              <w:spacing w:after="0"/>
              <w:ind w:right="0"/>
              <w:jc w:val="center"/>
              <w:rPr>
                <w:b/>
              </w:rPr>
            </w:pPr>
            <w:r>
              <w:rPr>
                <w:b/>
              </w:rPr>
              <w:t>Evidence</w:t>
            </w:r>
          </w:p>
        </w:tc>
        <w:tc>
          <w:tcPr>
            <w:tcW w:w="2835" w:type="dxa"/>
            <w:shd w:val="clear" w:color="auto" w:fill="D9D9D9" w:themeFill="background1" w:themeFillShade="D9"/>
          </w:tcPr>
          <w:p w:rsidR="00C33DF9" w:rsidRPr="000F0889" w:rsidRDefault="00C33DF9" w:rsidP="00FA52EF">
            <w:pPr>
              <w:pStyle w:val="BlockText"/>
              <w:spacing w:after="0"/>
              <w:ind w:right="0"/>
              <w:jc w:val="center"/>
              <w:rPr>
                <w:b/>
                <w:lang w:val="fr-FR"/>
              </w:rPr>
            </w:pPr>
            <w:r w:rsidRPr="000F0889">
              <w:rPr>
                <w:b/>
                <w:lang w:val="fr-FR"/>
              </w:rPr>
              <w:t>Compliant (COM)</w:t>
            </w:r>
            <w:r>
              <w:rPr>
                <w:b/>
                <w:lang w:val="fr-FR"/>
              </w:rPr>
              <w:t xml:space="preserve"> /</w:t>
            </w:r>
          </w:p>
          <w:p w:rsidR="00C33DF9" w:rsidRPr="000F0889" w:rsidRDefault="00C33DF9" w:rsidP="00FA52EF">
            <w:pPr>
              <w:pStyle w:val="BlockText"/>
              <w:spacing w:after="0"/>
              <w:ind w:right="0"/>
              <w:jc w:val="center"/>
              <w:rPr>
                <w:b/>
                <w:lang w:val="fr-FR"/>
              </w:rPr>
            </w:pPr>
            <w:r w:rsidRPr="000F0889">
              <w:rPr>
                <w:b/>
                <w:lang w:val="fr-FR"/>
              </w:rPr>
              <w:t>Non compliant (NC)</w:t>
            </w:r>
          </w:p>
        </w:tc>
      </w:tr>
      <w:tr w:rsidR="007656FC" w:rsidTr="00C33DF9">
        <w:tc>
          <w:tcPr>
            <w:tcW w:w="6091" w:type="dxa"/>
            <w:shd w:val="clear" w:color="auto" w:fill="auto"/>
          </w:tcPr>
          <w:p w:rsidR="007656FC" w:rsidRPr="001A140C" w:rsidRDefault="007656FC" w:rsidP="007656FC">
            <w:pPr>
              <w:pStyle w:val="BlockText"/>
              <w:numPr>
                <w:ilvl w:val="1"/>
                <w:numId w:val="10"/>
              </w:numPr>
              <w:jc w:val="both"/>
            </w:pPr>
            <w:r w:rsidRPr="001A140C">
              <w:t>The GTO provides clear and accurate advice to host employers to:</w:t>
            </w:r>
          </w:p>
          <w:p w:rsidR="007656FC" w:rsidRPr="001A140C" w:rsidRDefault="007656FC" w:rsidP="007656FC">
            <w:pPr>
              <w:pStyle w:val="BlockText"/>
              <w:numPr>
                <w:ilvl w:val="0"/>
                <w:numId w:val="9"/>
              </w:numPr>
              <w:jc w:val="both"/>
            </w:pPr>
            <w:r w:rsidRPr="001A140C">
              <w:t>take reasonable steps to ensure they understand the apprenticeship/traineeship system; and</w:t>
            </w:r>
          </w:p>
          <w:p w:rsidR="007656FC" w:rsidRPr="001A140C" w:rsidRDefault="007656FC" w:rsidP="007656FC">
            <w:pPr>
              <w:pStyle w:val="BlockText"/>
              <w:numPr>
                <w:ilvl w:val="0"/>
                <w:numId w:val="9"/>
              </w:numPr>
              <w:jc w:val="both"/>
            </w:pPr>
            <w:proofErr w:type="gramStart"/>
            <w:r w:rsidRPr="001A140C">
              <w:t>obtain</w:t>
            </w:r>
            <w:proofErr w:type="gramEnd"/>
            <w:r w:rsidRPr="001A140C">
              <w:t xml:space="preserve"> their agreement, by means of a Host Employer Agreement, to their role and responsibilities in training and supporting the apprentice or trainee while in their workplace, in meeting their obligations to maintain a safe workplace and in working cooperatively with the GTO and RTO. </w:t>
            </w:r>
          </w:p>
        </w:tc>
        <w:tc>
          <w:tcPr>
            <w:tcW w:w="6662" w:type="dxa"/>
            <w:shd w:val="clear" w:color="auto" w:fill="auto"/>
          </w:tcPr>
          <w:p w:rsidR="007656FC" w:rsidRDefault="007656FC" w:rsidP="00DF4C0C">
            <w:pPr>
              <w:pStyle w:val="BlockText"/>
              <w:ind w:right="0"/>
            </w:pPr>
          </w:p>
        </w:tc>
        <w:tc>
          <w:tcPr>
            <w:tcW w:w="2835" w:type="dxa"/>
            <w:shd w:val="clear" w:color="auto" w:fill="auto"/>
          </w:tcPr>
          <w:p w:rsidR="007656FC" w:rsidRDefault="007656FC" w:rsidP="00DF4C0C">
            <w:pPr>
              <w:pStyle w:val="BlockText"/>
              <w:ind w:right="0"/>
            </w:pPr>
          </w:p>
        </w:tc>
      </w:tr>
      <w:tr w:rsidR="007656FC" w:rsidTr="00C33DF9">
        <w:tc>
          <w:tcPr>
            <w:tcW w:w="6091" w:type="dxa"/>
            <w:shd w:val="clear" w:color="auto" w:fill="auto"/>
          </w:tcPr>
          <w:p w:rsidR="007656FC" w:rsidRPr="001A140C" w:rsidRDefault="007656FC" w:rsidP="007656FC">
            <w:pPr>
              <w:pStyle w:val="BlockText"/>
              <w:numPr>
                <w:ilvl w:val="1"/>
                <w:numId w:val="10"/>
              </w:numPr>
              <w:jc w:val="both"/>
            </w:pPr>
            <w:r w:rsidRPr="001A140C">
              <w:t xml:space="preserve">The GTO actively participates in the RTO’s development of the Training Plan, which is based on competency-based progression and completion principles and relevant to the qualification, the occupation, the host employer’s workplace and the needs of the apprentice/trainee, in conjunction with the apprentice/trainee. </w:t>
            </w:r>
          </w:p>
        </w:tc>
        <w:tc>
          <w:tcPr>
            <w:tcW w:w="6662" w:type="dxa"/>
            <w:shd w:val="clear" w:color="auto" w:fill="auto"/>
          </w:tcPr>
          <w:p w:rsidR="007656FC" w:rsidRDefault="007656FC" w:rsidP="00DF4C0C">
            <w:pPr>
              <w:pStyle w:val="BlockText"/>
              <w:ind w:right="0"/>
            </w:pPr>
          </w:p>
        </w:tc>
        <w:tc>
          <w:tcPr>
            <w:tcW w:w="2835" w:type="dxa"/>
            <w:shd w:val="clear" w:color="auto" w:fill="auto"/>
          </w:tcPr>
          <w:p w:rsidR="007656FC" w:rsidRDefault="007656FC" w:rsidP="00DF4C0C">
            <w:pPr>
              <w:pStyle w:val="BlockText"/>
              <w:ind w:right="0"/>
            </w:pPr>
          </w:p>
        </w:tc>
      </w:tr>
    </w:tbl>
    <w:p w:rsidR="00413583" w:rsidRDefault="00413583">
      <w:r>
        <w:br w:type="page"/>
      </w:r>
    </w:p>
    <w:tbl>
      <w:tblPr>
        <w:tblpPr w:leftFromText="180" w:rightFromText="180" w:vertAnchor="page" w:horzAnchor="margin" w:tblpY="195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6662"/>
        <w:gridCol w:w="2864"/>
      </w:tblGrid>
      <w:tr w:rsidR="00413583" w:rsidRPr="007B6EA3" w:rsidTr="007D5E72">
        <w:tc>
          <w:tcPr>
            <w:tcW w:w="6062" w:type="dxa"/>
            <w:shd w:val="clear" w:color="auto" w:fill="D9D9D9" w:themeFill="background1" w:themeFillShade="D9"/>
          </w:tcPr>
          <w:p w:rsidR="00413583" w:rsidRPr="004F2F54" w:rsidRDefault="008B403A" w:rsidP="00FA52EF">
            <w:pPr>
              <w:pStyle w:val="BlockText"/>
              <w:jc w:val="center"/>
              <w:rPr>
                <w:b/>
                <w:lang w:val="fr-FR"/>
              </w:rPr>
            </w:pPr>
            <w:r w:rsidRPr="004F2F54">
              <w:rPr>
                <w:b/>
                <w:lang w:val="fr-FR"/>
              </w:rPr>
              <w:lastRenderedPageBreak/>
              <w:t>Standard</w:t>
            </w:r>
          </w:p>
        </w:tc>
        <w:tc>
          <w:tcPr>
            <w:tcW w:w="6662" w:type="dxa"/>
            <w:shd w:val="clear" w:color="auto" w:fill="D9D9D9" w:themeFill="background1" w:themeFillShade="D9"/>
          </w:tcPr>
          <w:p w:rsidR="00413583" w:rsidRPr="004F2F54" w:rsidRDefault="008B403A" w:rsidP="00FA52EF">
            <w:pPr>
              <w:pStyle w:val="BlockText"/>
              <w:ind w:right="0"/>
              <w:jc w:val="center"/>
              <w:rPr>
                <w:b/>
                <w:lang w:val="fr-FR"/>
              </w:rPr>
            </w:pPr>
            <w:r w:rsidRPr="004F2F54">
              <w:rPr>
                <w:b/>
                <w:lang w:val="fr-FR"/>
              </w:rPr>
              <w:t>Evidence</w:t>
            </w:r>
          </w:p>
        </w:tc>
        <w:tc>
          <w:tcPr>
            <w:tcW w:w="2864" w:type="dxa"/>
            <w:shd w:val="clear" w:color="auto" w:fill="D9D9D9" w:themeFill="background1" w:themeFillShade="D9"/>
          </w:tcPr>
          <w:p w:rsidR="008B403A" w:rsidRPr="004F2F54" w:rsidRDefault="008B403A" w:rsidP="00FA52EF">
            <w:pPr>
              <w:pStyle w:val="BlockText"/>
              <w:ind w:right="0"/>
              <w:jc w:val="center"/>
              <w:rPr>
                <w:b/>
                <w:lang w:val="fr-FR"/>
              </w:rPr>
            </w:pPr>
            <w:r w:rsidRPr="004F2F54">
              <w:rPr>
                <w:b/>
                <w:lang w:val="fr-FR"/>
              </w:rPr>
              <w:t xml:space="preserve">Compliant (COM) / </w:t>
            </w:r>
            <w:r w:rsidRPr="004F2F54">
              <w:rPr>
                <w:b/>
                <w:lang w:val="fr-FR"/>
              </w:rPr>
              <w:br/>
              <w:t>Non compliant (NC)</w:t>
            </w:r>
          </w:p>
        </w:tc>
      </w:tr>
      <w:tr w:rsidR="008B403A" w:rsidRPr="00CA4416" w:rsidTr="00B57089">
        <w:tc>
          <w:tcPr>
            <w:tcW w:w="6062" w:type="dxa"/>
            <w:shd w:val="clear" w:color="auto" w:fill="auto"/>
          </w:tcPr>
          <w:p w:rsidR="00CA4416" w:rsidRPr="001A140C" w:rsidRDefault="00CA4416" w:rsidP="00CA4416">
            <w:pPr>
              <w:pStyle w:val="BlockText"/>
              <w:ind w:left="731" w:hanging="709"/>
              <w:jc w:val="both"/>
            </w:pPr>
            <w:r w:rsidRPr="001A140C">
              <w:t>(2.1)</w:t>
            </w:r>
            <w:r w:rsidRPr="001A140C">
              <w:tab/>
              <w:t xml:space="preserve">The GTO provides services that meet the needs of apprentices and trainees to facilitate the continuity of the Training Contract to completion and the quality and breadth of the training experience, including: </w:t>
            </w:r>
          </w:p>
          <w:p w:rsidR="00CA4416" w:rsidRDefault="00CA4416" w:rsidP="00CA4416">
            <w:pPr>
              <w:pStyle w:val="BlockText"/>
              <w:numPr>
                <w:ilvl w:val="0"/>
                <w:numId w:val="7"/>
              </w:numPr>
              <w:jc w:val="both"/>
            </w:pPr>
            <w:r w:rsidRPr="001A140C">
              <w:t xml:space="preserve">support and mentoring throughout the Training Contract; </w:t>
            </w:r>
          </w:p>
          <w:p w:rsidR="008B403A" w:rsidRPr="00CA4416" w:rsidRDefault="00CA4416" w:rsidP="00CA4416">
            <w:pPr>
              <w:pStyle w:val="BlockText"/>
              <w:numPr>
                <w:ilvl w:val="0"/>
                <w:numId w:val="7"/>
              </w:numPr>
              <w:jc w:val="both"/>
            </w:pPr>
            <w:proofErr w:type="gramStart"/>
            <w:r w:rsidRPr="001A140C">
              <w:t>providing</w:t>
            </w:r>
            <w:proofErr w:type="gramEnd"/>
            <w:r w:rsidRPr="001A140C">
              <w:t xml:space="preserve"> resources or advice or procuring any special equipment for the workplace in order to meet access and equity and Work Health and Safety requirements.</w:t>
            </w:r>
          </w:p>
        </w:tc>
        <w:tc>
          <w:tcPr>
            <w:tcW w:w="6662" w:type="dxa"/>
            <w:shd w:val="clear" w:color="auto" w:fill="auto"/>
          </w:tcPr>
          <w:p w:rsidR="008B403A" w:rsidRPr="00CA4416" w:rsidRDefault="008B403A" w:rsidP="00413583">
            <w:pPr>
              <w:pStyle w:val="BlockText"/>
              <w:ind w:right="0"/>
            </w:pPr>
          </w:p>
        </w:tc>
        <w:tc>
          <w:tcPr>
            <w:tcW w:w="2864" w:type="dxa"/>
            <w:shd w:val="clear" w:color="auto" w:fill="auto"/>
          </w:tcPr>
          <w:p w:rsidR="008B403A" w:rsidRPr="00CA4416" w:rsidRDefault="008B403A" w:rsidP="00413583">
            <w:pPr>
              <w:pStyle w:val="BlockText"/>
              <w:ind w:right="0"/>
            </w:pPr>
          </w:p>
        </w:tc>
      </w:tr>
      <w:tr w:rsidR="00413583" w:rsidRPr="00CA4416" w:rsidTr="00B57089">
        <w:tc>
          <w:tcPr>
            <w:tcW w:w="6062" w:type="dxa"/>
            <w:shd w:val="clear" w:color="auto" w:fill="auto"/>
          </w:tcPr>
          <w:p w:rsidR="00CA4416" w:rsidRPr="001A140C" w:rsidRDefault="00CA4416" w:rsidP="00CA4416">
            <w:pPr>
              <w:pStyle w:val="BlockText"/>
              <w:ind w:left="731" w:hanging="709"/>
              <w:jc w:val="both"/>
              <w:rPr>
                <w:rFonts w:cs="Arial"/>
              </w:rPr>
            </w:pPr>
            <w:r w:rsidRPr="001A140C">
              <w:t>(2.2)</w:t>
            </w:r>
            <w:r w:rsidRPr="001A140C">
              <w:tab/>
            </w:r>
            <w:r w:rsidRPr="001A140C">
              <w:rPr>
                <w:rFonts w:cs="Arial"/>
              </w:rPr>
              <w:t>The GTO monitors each apprentic</w:t>
            </w:r>
            <w:r>
              <w:rPr>
                <w:rFonts w:cs="Arial"/>
              </w:rPr>
              <w:t xml:space="preserve">e or </w:t>
            </w:r>
            <w:r w:rsidRPr="001A140C">
              <w:rPr>
                <w:rFonts w:cs="Arial"/>
              </w:rPr>
              <w:t xml:space="preserve">trainee’s progress against the </w:t>
            </w:r>
            <w:r w:rsidRPr="001A140C">
              <w:rPr>
                <w:rFonts w:cs="Arial"/>
                <w:b/>
              </w:rPr>
              <w:t>Training Plan</w:t>
            </w:r>
            <w:r>
              <w:rPr>
                <w:rFonts w:cs="Arial"/>
              </w:rPr>
              <w:t xml:space="preserve"> </w:t>
            </w:r>
            <w:r w:rsidRPr="001A140C">
              <w:rPr>
                <w:rFonts w:cs="Arial"/>
              </w:rPr>
              <w:t>and:</w:t>
            </w:r>
          </w:p>
          <w:p w:rsidR="00CA4416" w:rsidRDefault="00CA4416" w:rsidP="00CA4416">
            <w:pPr>
              <w:pStyle w:val="BlockText"/>
              <w:numPr>
                <w:ilvl w:val="0"/>
                <w:numId w:val="11"/>
              </w:numPr>
              <w:spacing w:before="120" w:after="120" w:line="240" w:lineRule="auto"/>
              <w:jc w:val="both"/>
              <w:rPr>
                <w:rFonts w:cs="Arial"/>
              </w:rPr>
            </w:pPr>
            <w:r w:rsidRPr="001A140C">
              <w:rPr>
                <w:rFonts w:cs="Arial"/>
              </w:rPr>
              <w:t>facilitates the integration of the training and employment experiences, including arranging for workplace rotations if required;</w:t>
            </w:r>
          </w:p>
          <w:p w:rsidR="00413583" w:rsidRPr="00CA4416" w:rsidRDefault="00CA4416" w:rsidP="00CA4416">
            <w:pPr>
              <w:pStyle w:val="BlockText"/>
              <w:numPr>
                <w:ilvl w:val="0"/>
                <w:numId w:val="11"/>
              </w:numPr>
              <w:spacing w:before="120" w:after="120" w:line="240" w:lineRule="auto"/>
              <w:jc w:val="both"/>
            </w:pPr>
            <w:proofErr w:type="gramStart"/>
            <w:r w:rsidRPr="001A140C">
              <w:rPr>
                <w:rFonts w:cs="Arial"/>
              </w:rPr>
              <w:t>requests</w:t>
            </w:r>
            <w:proofErr w:type="gramEnd"/>
            <w:r w:rsidRPr="001A140C">
              <w:rPr>
                <w:rFonts w:cs="Arial"/>
              </w:rPr>
              <w:t xml:space="preserve"> that the RTO review the </w:t>
            </w:r>
            <w:r w:rsidRPr="001A140C">
              <w:rPr>
                <w:rFonts w:cs="Arial"/>
                <w:b/>
              </w:rPr>
              <w:t xml:space="preserve">Training Plan </w:t>
            </w:r>
            <w:r w:rsidRPr="001A140C">
              <w:rPr>
                <w:rFonts w:cs="Arial"/>
              </w:rPr>
              <w:t xml:space="preserve">when changes occur with the </w:t>
            </w:r>
            <w:r w:rsidRPr="001A140C">
              <w:rPr>
                <w:rFonts w:cs="Arial"/>
                <w:b/>
              </w:rPr>
              <w:t xml:space="preserve">apprentice/trainee </w:t>
            </w:r>
            <w:r w:rsidRPr="001A140C">
              <w:rPr>
                <w:rFonts w:cs="Arial"/>
              </w:rPr>
              <w:t xml:space="preserve">employment arrangements, including any workplace </w:t>
            </w:r>
            <w:r w:rsidRPr="001A140C">
              <w:rPr>
                <w:rFonts w:cs="Arial"/>
                <w:b/>
              </w:rPr>
              <w:t>rotations</w:t>
            </w:r>
            <w:r w:rsidRPr="001A140C">
              <w:rPr>
                <w:rFonts w:cs="Arial"/>
              </w:rPr>
              <w:t>, competency-based progressions or other changes.</w:t>
            </w:r>
          </w:p>
        </w:tc>
        <w:tc>
          <w:tcPr>
            <w:tcW w:w="6662" w:type="dxa"/>
            <w:shd w:val="clear" w:color="auto" w:fill="auto"/>
          </w:tcPr>
          <w:p w:rsidR="00413583" w:rsidRPr="00CA4416" w:rsidRDefault="00413583" w:rsidP="00413583">
            <w:pPr>
              <w:pStyle w:val="BlockText"/>
              <w:ind w:right="0"/>
            </w:pPr>
          </w:p>
        </w:tc>
        <w:tc>
          <w:tcPr>
            <w:tcW w:w="2864" w:type="dxa"/>
            <w:shd w:val="clear" w:color="auto" w:fill="auto"/>
          </w:tcPr>
          <w:p w:rsidR="00E455C0" w:rsidRPr="00CA4416" w:rsidRDefault="00E455C0" w:rsidP="00413583">
            <w:pPr>
              <w:pStyle w:val="BlockText"/>
              <w:ind w:right="0"/>
            </w:pPr>
          </w:p>
        </w:tc>
      </w:tr>
    </w:tbl>
    <w:p w:rsidR="0068279D" w:rsidRPr="00B96DC2" w:rsidRDefault="00B25486">
      <w:pPr>
        <w:rPr>
          <w:b/>
          <w:sz w:val="24"/>
        </w:rPr>
      </w:pPr>
      <w:r w:rsidRPr="00B96DC2">
        <w:rPr>
          <w:b/>
          <w:sz w:val="24"/>
        </w:rPr>
        <w:t xml:space="preserve">Standard 2 </w:t>
      </w:r>
      <w:r w:rsidR="00B96DC2">
        <w:rPr>
          <w:b/>
          <w:sz w:val="24"/>
        </w:rPr>
        <w:t xml:space="preserve">- </w:t>
      </w:r>
      <w:r w:rsidRPr="00B96DC2">
        <w:rPr>
          <w:b/>
          <w:sz w:val="24"/>
        </w:rPr>
        <w:t>Monitoring and supporting Apprentices and Trainees to completion</w:t>
      </w:r>
    </w:p>
    <w:p w:rsidR="00B25486" w:rsidRDefault="00B25486">
      <w:pPr>
        <w:spacing w:after="0" w:line="240" w:lineRule="auto"/>
        <w:rPr>
          <w:rFonts w:eastAsia="Times" w:cs="Times New Roman"/>
          <w:b/>
          <w:sz w:val="24"/>
          <w:lang w:eastAsia="en-AU"/>
        </w:rPr>
      </w:pPr>
    </w:p>
    <w:p w:rsidR="007656FC" w:rsidRPr="006974E5" w:rsidRDefault="007656FC" w:rsidP="007656FC">
      <w:pPr>
        <w:pStyle w:val="BlockText"/>
        <w:ind w:right="0"/>
        <w:rPr>
          <w:b/>
          <w:sz w:val="24"/>
          <w:szCs w:val="24"/>
        </w:rPr>
      </w:pPr>
    </w:p>
    <w:tbl>
      <w:tblPr>
        <w:tblpPr w:leftFromText="180" w:rightFromText="180" w:vertAnchor="page" w:horzAnchor="margin" w:tblpY="195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6691"/>
        <w:gridCol w:w="2835"/>
      </w:tblGrid>
      <w:tr w:rsidR="00730E92" w:rsidRPr="007B6EA3" w:rsidTr="00451B5D">
        <w:tc>
          <w:tcPr>
            <w:tcW w:w="6062" w:type="dxa"/>
            <w:shd w:val="clear" w:color="auto" w:fill="D9D9D9" w:themeFill="background1" w:themeFillShade="D9"/>
          </w:tcPr>
          <w:p w:rsidR="00730E92" w:rsidRPr="00155BA9" w:rsidRDefault="00730E92" w:rsidP="00FA52EF">
            <w:pPr>
              <w:pStyle w:val="BlockText"/>
              <w:jc w:val="center"/>
              <w:rPr>
                <w:b/>
                <w:lang w:val="fr-FR"/>
              </w:rPr>
            </w:pPr>
            <w:r w:rsidRPr="00155BA9">
              <w:rPr>
                <w:b/>
                <w:lang w:val="fr-FR"/>
              </w:rPr>
              <w:t>Standard</w:t>
            </w:r>
          </w:p>
        </w:tc>
        <w:tc>
          <w:tcPr>
            <w:tcW w:w="6691" w:type="dxa"/>
            <w:shd w:val="clear" w:color="auto" w:fill="D9D9D9" w:themeFill="background1" w:themeFillShade="D9"/>
          </w:tcPr>
          <w:p w:rsidR="00730E92" w:rsidRPr="00155BA9" w:rsidRDefault="00730E92" w:rsidP="00FA52EF">
            <w:pPr>
              <w:pStyle w:val="BlockText"/>
              <w:ind w:right="0"/>
              <w:jc w:val="center"/>
              <w:rPr>
                <w:b/>
                <w:lang w:val="fr-FR"/>
              </w:rPr>
            </w:pPr>
            <w:r w:rsidRPr="00155BA9">
              <w:rPr>
                <w:b/>
                <w:lang w:val="fr-FR"/>
              </w:rPr>
              <w:t>Evidence</w:t>
            </w:r>
          </w:p>
        </w:tc>
        <w:tc>
          <w:tcPr>
            <w:tcW w:w="2835" w:type="dxa"/>
            <w:shd w:val="clear" w:color="auto" w:fill="D9D9D9" w:themeFill="background1" w:themeFillShade="D9"/>
          </w:tcPr>
          <w:p w:rsidR="00730E92" w:rsidRPr="00155BA9" w:rsidRDefault="00730E92" w:rsidP="00730E92">
            <w:pPr>
              <w:pStyle w:val="BlockText"/>
              <w:ind w:right="0"/>
              <w:rPr>
                <w:b/>
                <w:lang w:val="fr-FR"/>
              </w:rPr>
            </w:pPr>
            <w:r w:rsidRPr="00155BA9">
              <w:rPr>
                <w:b/>
                <w:lang w:val="fr-FR"/>
              </w:rPr>
              <w:t xml:space="preserve">Compliant (COM) / </w:t>
            </w:r>
            <w:r w:rsidRPr="00155BA9">
              <w:rPr>
                <w:b/>
                <w:lang w:val="fr-FR"/>
              </w:rPr>
              <w:br/>
              <w:t>Non compliant (NC)</w:t>
            </w:r>
          </w:p>
        </w:tc>
      </w:tr>
    </w:tbl>
    <w:tbl>
      <w:tblPr>
        <w:tblStyle w:val="TableGrid"/>
        <w:tblW w:w="15588" w:type="dxa"/>
        <w:tblLook w:val="04A0" w:firstRow="1" w:lastRow="0" w:firstColumn="1" w:lastColumn="0" w:noHBand="0" w:noVBand="1"/>
      </w:tblPr>
      <w:tblGrid>
        <w:gridCol w:w="6091"/>
        <w:gridCol w:w="6662"/>
        <w:gridCol w:w="2835"/>
      </w:tblGrid>
      <w:tr w:rsidR="00B25486" w:rsidTr="00155BA9">
        <w:tc>
          <w:tcPr>
            <w:tcW w:w="6091" w:type="dxa"/>
          </w:tcPr>
          <w:p w:rsidR="004034CA" w:rsidRPr="001A140C" w:rsidRDefault="0041264A" w:rsidP="004034CA">
            <w:pPr>
              <w:pStyle w:val="BlockText"/>
              <w:ind w:left="731" w:hanging="709"/>
              <w:jc w:val="both"/>
            </w:pPr>
            <w:r w:rsidRPr="001A140C">
              <w:t>(2.</w:t>
            </w:r>
            <w:r w:rsidR="009848D5">
              <w:t>3</w:t>
            </w:r>
            <w:r w:rsidRPr="001A140C">
              <w:t>)</w:t>
            </w:r>
            <w:r w:rsidRPr="001A140C">
              <w:tab/>
            </w:r>
            <w:r w:rsidRPr="0041264A">
              <w:rPr>
                <w:rFonts w:cs="Arial"/>
              </w:rPr>
              <w:t>The GTO has appropriate systems in place, based on the scale and scope of its operations, to manage and support apprentices and trainees in times of economic downturn or ‘stand down’ to facilitate the retention of the apprentice or trainee.</w:t>
            </w:r>
          </w:p>
        </w:tc>
        <w:tc>
          <w:tcPr>
            <w:tcW w:w="6662" w:type="dxa"/>
          </w:tcPr>
          <w:p w:rsidR="00B25486" w:rsidRDefault="00B25486" w:rsidP="00DF4C0C">
            <w:pPr>
              <w:pStyle w:val="BlockText"/>
              <w:ind w:right="0"/>
            </w:pPr>
          </w:p>
        </w:tc>
        <w:tc>
          <w:tcPr>
            <w:tcW w:w="2835" w:type="dxa"/>
          </w:tcPr>
          <w:p w:rsidR="00B25486" w:rsidRDefault="00B25486" w:rsidP="00DF4C0C">
            <w:pPr>
              <w:pStyle w:val="BlockText"/>
              <w:ind w:right="0"/>
            </w:pPr>
          </w:p>
        </w:tc>
      </w:tr>
      <w:tr w:rsidR="0068279D" w:rsidTr="00155BA9">
        <w:tc>
          <w:tcPr>
            <w:tcW w:w="6091" w:type="dxa"/>
          </w:tcPr>
          <w:p w:rsidR="0068279D" w:rsidRPr="00582270" w:rsidRDefault="00582270" w:rsidP="00582270">
            <w:pPr>
              <w:pStyle w:val="BlockText"/>
              <w:ind w:left="731" w:hanging="709"/>
              <w:jc w:val="both"/>
              <w:rPr>
                <w:rFonts w:cs="Arial"/>
              </w:rPr>
            </w:pPr>
            <w:r w:rsidRPr="001A140C">
              <w:t>(2.</w:t>
            </w:r>
            <w:r>
              <w:t>4</w:t>
            </w:r>
            <w:r w:rsidRPr="001A140C">
              <w:t>)</w:t>
            </w:r>
            <w:r w:rsidRPr="001A140C">
              <w:tab/>
            </w:r>
            <w:r>
              <w:t>T</w:t>
            </w:r>
            <w:r>
              <w:rPr>
                <w:rFonts w:cs="Arial"/>
              </w:rPr>
              <w:t xml:space="preserve">he GTO provides assistance, coordination and accurate advice to host employers for the duration of the Host Employment Agreement, and works with the host employer to provide appropriate on-the-job training, supervision, support and mentoring to the hosted apprentice/trainee. </w:t>
            </w:r>
          </w:p>
        </w:tc>
        <w:tc>
          <w:tcPr>
            <w:tcW w:w="6662" w:type="dxa"/>
          </w:tcPr>
          <w:p w:rsidR="0068279D" w:rsidRDefault="0068279D" w:rsidP="00DF4C0C">
            <w:pPr>
              <w:pStyle w:val="BlockText"/>
              <w:ind w:right="0"/>
            </w:pPr>
          </w:p>
        </w:tc>
        <w:tc>
          <w:tcPr>
            <w:tcW w:w="2835" w:type="dxa"/>
          </w:tcPr>
          <w:p w:rsidR="0068279D" w:rsidRDefault="0068279D" w:rsidP="00DF4C0C">
            <w:pPr>
              <w:pStyle w:val="BlockText"/>
              <w:ind w:right="0"/>
            </w:pPr>
          </w:p>
        </w:tc>
      </w:tr>
      <w:tr w:rsidR="0068279D" w:rsidTr="00155BA9">
        <w:tc>
          <w:tcPr>
            <w:tcW w:w="6091" w:type="dxa"/>
          </w:tcPr>
          <w:p w:rsidR="00E9402B" w:rsidRPr="00E9402B" w:rsidRDefault="00EF1087" w:rsidP="00EF1087">
            <w:pPr>
              <w:pStyle w:val="BlockText"/>
              <w:ind w:left="731" w:hanging="709"/>
              <w:jc w:val="both"/>
              <w:rPr>
                <w:rFonts w:cs="Arial"/>
              </w:rPr>
            </w:pPr>
            <w:r w:rsidRPr="001A140C">
              <w:t>(2.</w:t>
            </w:r>
            <w:r>
              <w:t>5</w:t>
            </w:r>
            <w:r w:rsidRPr="001A140C">
              <w:t>)</w:t>
            </w:r>
            <w:r w:rsidRPr="001A140C">
              <w:tab/>
            </w:r>
            <w:r>
              <w:rPr>
                <w:rFonts w:cs="Arial"/>
              </w:rPr>
              <w:t>Where there are any performance issues with an apprentice/trainee, the GTO manages these issues fairly, and records the outcome and the feedback provided to the apprentice or trainee.</w:t>
            </w:r>
          </w:p>
        </w:tc>
        <w:tc>
          <w:tcPr>
            <w:tcW w:w="6662" w:type="dxa"/>
          </w:tcPr>
          <w:p w:rsidR="0068279D" w:rsidRDefault="0068279D" w:rsidP="00DF4C0C">
            <w:pPr>
              <w:pStyle w:val="BlockText"/>
              <w:ind w:right="0"/>
            </w:pPr>
          </w:p>
        </w:tc>
        <w:tc>
          <w:tcPr>
            <w:tcW w:w="2835" w:type="dxa"/>
          </w:tcPr>
          <w:p w:rsidR="0068279D" w:rsidRDefault="0068279D" w:rsidP="00DF4C0C">
            <w:pPr>
              <w:pStyle w:val="BlockText"/>
              <w:ind w:right="0"/>
            </w:pPr>
          </w:p>
        </w:tc>
      </w:tr>
      <w:tr w:rsidR="0068279D" w:rsidTr="00155BA9">
        <w:tc>
          <w:tcPr>
            <w:tcW w:w="6091" w:type="dxa"/>
          </w:tcPr>
          <w:p w:rsidR="0068279D" w:rsidRPr="001A140C" w:rsidRDefault="0068279D" w:rsidP="00B61470">
            <w:pPr>
              <w:pStyle w:val="BlockText"/>
              <w:ind w:left="731" w:right="0" w:hanging="731"/>
              <w:jc w:val="both"/>
            </w:pPr>
            <w:r w:rsidRPr="001A140C">
              <w:t>(2.6)</w:t>
            </w:r>
            <w:r w:rsidRPr="001A140C">
              <w:tab/>
            </w:r>
            <w:r>
              <w:rPr>
                <w:rFonts w:cs="Arial"/>
              </w:rPr>
              <w:t xml:space="preserve">The GTO complies with </w:t>
            </w:r>
            <w:r w:rsidRPr="001A140C">
              <w:rPr>
                <w:rFonts w:cs="Arial"/>
              </w:rPr>
              <w:t xml:space="preserve">Commonwealth, State </w:t>
            </w:r>
            <w:r>
              <w:rPr>
                <w:rFonts w:cs="Arial"/>
              </w:rPr>
              <w:t xml:space="preserve">and Territory requirements for competency based </w:t>
            </w:r>
            <w:r w:rsidRPr="001A140C">
              <w:rPr>
                <w:rFonts w:cs="Arial"/>
              </w:rPr>
              <w:t xml:space="preserve">progression and completion and </w:t>
            </w:r>
            <w:r>
              <w:rPr>
                <w:rFonts w:cs="Arial"/>
              </w:rPr>
              <w:t xml:space="preserve">supports </w:t>
            </w:r>
            <w:r w:rsidRPr="001A140C">
              <w:rPr>
                <w:rFonts w:cs="Arial"/>
              </w:rPr>
              <w:t xml:space="preserve">genuine efforts to achieve the </w:t>
            </w:r>
            <w:r>
              <w:rPr>
                <w:rFonts w:cs="Arial"/>
              </w:rPr>
              <w:t xml:space="preserve">qualification in </w:t>
            </w:r>
            <w:r w:rsidRPr="001A140C">
              <w:rPr>
                <w:rFonts w:cs="Arial"/>
              </w:rPr>
              <w:t xml:space="preserve">an appropriate timeframe </w:t>
            </w:r>
            <w:r>
              <w:rPr>
                <w:rFonts w:cs="Arial"/>
              </w:rPr>
              <w:t xml:space="preserve">regardless of the </w:t>
            </w:r>
            <w:r w:rsidRPr="001A140C">
              <w:rPr>
                <w:rFonts w:cs="Arial"/>
              </w:rPr>
              <w:t>nominal duration of the Training Contract.</w:t>
            </w:r>
          </w:p>
        </w:tc>
        <w:tc>
          <w:tcPr>
            <w:tcW w:w="6662" w:type="dxa"/>
          </w:tcPr>
          <w:p w:rsidR="0068279D" w:rsidRDefault="0068279D" w:rsidP="00DF4C0C">
            <w:pPr>
              <w:pStyle w:val="BlockText"/>
              <w:ind w:right="0"/>
            </w:pPr>
          </w:p>
        </w:tc>
        <w:tc>
          <w:tcPr>
            <w:tcW w:w="2835" w:type="dxa"/>
          </w:tcPr>
          <w:p w:rsidR="0068279D" w:rsidRDefault="0068279D" w:rsidP="00DF4C0C">
            <w:pPr>
              <w:pStyle w:val="BlockText"/>
              <w:ind w:right="0"/>
            </w:pPr>
          </w:p>
        </w:tc>
      </w:tr>
    </w:tbl>
    <w:p w:rsidR="00985A11" w:rsidRDefault="00985A11" w:rsidP="00D33C16">
      <w:pPr>
        <w:pStyle w:val="BlockText"/>
        <w:ind w:right="0"/>
        <w:rPr>
          <w:b/>
          <w:sz w:val="24"/>
          <w:szCs w:val="24"/>
        </w:rPr>
      </w:pPr>
    </w:p>
    <w:p w:rsidR="00D33C16" w:rsidRPr="00A67A1B" w:rsidRDefault="00D33C16" w:rsidP="00D33C16">
      <w:pPr>
        <w:pStyle w:val="BlockText"/>
        <w:ind w:right="0"/>
        <w:rPr>
          <w:b/>
          <w:sz w:val="24"/>
          <w:szCs w:val="24"/>
        </w:rPr>
      </w:pPr>
      <w:r w:rsidRPr="00A67A1B">
        <w:rPr>
          <w:b/>
          <w:sz w:val="24"/>
          <w:szCs w:val="24"/>
        </w:rPr>
        <w:t xml:space="preserve">Standard </w:t>
      </w:r>
      <w:r w:rsidR="00A67A1B" w:rsidRPr="00A67A1B">
        <w:rPr>
          <w:b/>
          <w:sz w:val="24"/>
          <w:szCs w:val="24"/>
        </w:rPr>
        <w:t xml:space="preserve">- </w:t>
      </w:r>
      <w:r w:rsidRPr="00A67A1B">
        <w:rPr>
          <w:b/>
          <w:sz w:val="24"/>
          <w:szCs w:val="24"/>
        </w:rPr>
        <w:t>3 GTO Governance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5897"/>
        <w:gridCol w:w="3364"/>
      </w:tblGrid>
      <w:tr w:rsidR="00D33C16" w:rsidRPr="007B6EA3" w:rsidTr="002B42C9">
        <w:tc>
          <w:tcPr>
            <w:tcW w:w="6091" w:type="dxa"/>
            <w:shd w:val="pct12" w:color="auto" w:fill="auto"/>
          </w:tcPr>
          <w:p w:rsidR="00D33C16" w:rsidRPr="0052402D" w:rsidRDefault="00D33C16" w:rsidP="00DF4C0C">
            <w:pPr>
              <w:pStyle w:val="BlockText"/>
              <w:ind w:right="0"/>
              <w:jc w:val="center"/>
              <w:rPr>
                <w:rFonts w:cs="Arial"/>
                <w:b/>
              </w:rPr>
            </w:pPr>
            <w:r w:rsidRPr="0052402D">
              <w:rPr>
                <w:rFonts w:cs="Arial"/>
                <w:b/>
              </w:rPr>
              <w:t>Standard</w:t>
            </w:r>
          </w:p>
        </w:tc>
        <w:tc>
          <w:tcPr>
            <w:tcW w:w="5897" w:type="dxa"/>
            <w:shd w:val="pct12" w:color="auto" w:fill="auto"/>
          </w:tcPr>
          <w:p w:rsidR="00D33C16" w:rsidRPr="0052402D" w:rsidRDefault="00D33C16" w:rsidP="00DF4C0C">
            <w:pPr>
              <w:pStyle w:val="BlockText"/>
              <w:ind w:right="0"/>
              <w:jc w:val="center"/>
              <w:rPr>
                <w:rFonts w:cs="Arial"/>
                <w:b/>
              </w:rPr>
            </w:pPr>
            <w:r w:rsidRPr="0052402D">
              <w:rPr>
                <w:rFonts w:cs="Arial"/>
                <w:b/>
              </w:rPr>
              <w:t>Evidence</w:t>
            </w:r>
          </w:p>
        </w:tc>
        <w:tc>
          <w:tcPr>
            <w:tcW w:w="3364" w:type="dxa"/>
            <w:shd w:val="pct12" w:color="auto" w:fill="auto"/>
          </w:tcPr>
          <w:p w:rsidR="00D33C16" w:rsidRPr="007B6EA3" w:rsidRDefault="00D33C16" w:rsidP="0052402D">
            <w:pPr>
              <w:jc w:val="center"/>
              <w:rPr>
                <w:rFonts w:cs="Arial"/>
                <w:b/>
                <w:sz w:val="20"/>
                <w:szCs w:val="20"/>
                <w:lang w:val="fr-FR"/>
              </w:rPr>
            </w:pPr>
            <w:r w:rsidRPr="007B6EA3">
              <w:rPr>
                <w:rFonts w:cs="Arial"/>
                <w:b/>
                <w:sz w:val="20"/>
                <w:szCs w:val="20"/>
                <w:lang w:val="fr-FR"/>
              </w:rPr>
              <w:t>Compliant (COM)</w:t>
            </w:r>
            <w:r w:rsidR="008F4A27" w:rsidRPr="007B6EA3">
              <w:rPr>
                <w:rFonts w:cs="Arial"/>
                <w:b/>
                <w:sz w:val="20"/>
                <w:szCs w:val="20"/>
                <w:lang w:val="fr-FR"/>
              </w:rPr>
              <w:t xml:space="preserve"> /</w:t>
            </w:r>
            <w:r w:rsidR="0052402D" w:rsidRPr="007B6EA3">
              <w:rPr>
                <w:rFonts w:cs="Arial"/>
                <w:b/>
                <w:sz w:val="20"/>
                <w:szCs w:val="20"/>
                <w:lang w:val="fr-FR"/>
              </w:rPr>
              <w:br/>
            </w:r>
            <w:r w:rsidRPr="007B6EA3">
              <w:rPr>
                <w:rFonts w:cs="Arial"/>
                <w:b/>
                <w:sz w:val="20"/>
                <w:szCs w:val="20"/>
                <w:lang w:val="fr-FR"/>
              </w:rPr>
              <w:t>Non compliant (NC)</w:t>
            </w:r>
          </w:p>
        </w:tc>
      </w:tr>
      <w:tr w:rsidR="00D33C16" w:rsidTr="002B42C9">
        <w:tc>
          <w:tcPr>
            <w:tcW w:w="6091" w:type="dxa"/>
            <w:shd w:val="clear" w:color="auto" w:fill="auto"/>
          </w:tcPr>
          <w:p w:rsidR="00D33C16" w:rsidRPr="00597722" w:rsidRDefault="00365BEA" w:rsidP="00365BEA">
            <w:pPr>
              <w:pStyle w:val="BlockText"/>
              <w:ind w:left="731" w:hanging="709"/>
              <w:jc w:val="both"/>
            </w:pPr>
            <w:r w:rsidRPr="001A140C">
              <w:t>(</w:t>
            </w:r>
            <w:r>
              <w:t>3</w:t>
            </w:r>
            <w:r w:rsidRPr="001A140C">
              <w:t>.1)</w:t>
            </w:r>
            <w:r w:rsidRPr="001A140C">
              <w:tab/>
              <w:t xml:space="preserve">The GTO </w:t>
            </w:r>
            <w:r>
              <w:t xml:space="preserve">complies with Commonwealth, State and Territory legislative regularly requirements and policies as they relate to the employment and training of apprentices and trainees in each State and Territory in which they operate. </w:t>
            </w:r>
          </w:p>
        </w:tc>
        <w:tc>
          <w:tcPr>
            <w:tcW w:w="5897" w:type="dxa"/>
            <w:shd w:val="clear" w:color="auto" w:fill="auto"/>
          </w:tcPr>
          <w:p w:rsidR="00D33C16" w:rsidRDefault="00D33C16" w:rsidP="00DF4C0C">
            <w:pPr>
              <w:pStyle w:val="BlockText"/>
              <w:ind w:right="0"/>
            </w:pPr>
          </w:p>
        </w:tc>
        <w:tc>
          <w:tcPr>
            <w:tcW w:w="3364" w:type="dxa"/>
            <w:shd w:val="clear" w:color="auto" w:fill="auto"/>
          </w:tcPr>
          <w:p w:rsidR="00D33C16" w:rsidRDefault="00D33C16" w:rsidP="00DF4C0C">
            <w:pPr>
              <w:pStyle w:val="BlockText"/>
              <w:ind w:right="0"/>
            </w:pPr>
          </w:p>
        </w:tc>
      </w:tr>
      <w:tr w:rsidR="00D33C16" w:rsidTr="002B42C9">
        <w:tc>
          <w:tcPr>
            <w:tcW w:w="6091" w:type="dxa"/>
            <w:shd w:val="clear" w:color="auto" w:fill="auto"/>
          </w:tcPr>
          <w:p w:rsidR="00D33C16" w:rsidRPr="00597722" w:rsidRDefault="00D33C16" w:rsidP="00541057">
            <w:pPr>
              <w:pStyle w:val="BlockText"/>
              <w:ind w:left="731" w:hanging="731"/>
              <w:jc w:val="both"/>
            </w:pPr>
            <w:r w:rsidRPr="00597722">
              <w:t>(3.2)</w:t>
            </w:r>
            <w:r w:rsidRPr="00597722">
              <w:tab/>
            </w:r>
            <w:r w:rsidR="002B42C9" w:rsidRPr="00597722">
              <w:rPr>
                <w:rFonts w:cs="Arial"/>
              </w:rPr>
              <w:t xml:space="preserve">The GTO is incorporated in </w:t>
            </w:r>
            <w:r w:rsidRPr="00597722">
              <w:rPr>
                <w:rFonts w:cs="Arial"/>
              </w:rPr>
              <w:t>Australia, a gove</w:t>
            </w:r>
            <w:r w:rsidR="002B42C9" w:rsidRPr="00597722">
              <w:rPr>
                <w:rFonts w:cs="Arial"/>
              </w:rPr>
              <w:t xml:space="preserve">rnment entity, or regulated by </w:t>
            </w:r>
            <w:r w:rsidRPr="00597722">
              <w:rPr>
                <w:rFonts w:cs="Arial"/>
              </w:rPr>
              <w:t>the Australian Charities and Not</w:t>
            </w:r>
            <w:r w:rsidR="002B42C9" w:rsidRPr="00597722">
              <w:rPr>
                <w:rFonts w:cs="Arial"/>
              </w:rPr>
              <w:t xml:space="preserve">-for-profits </w:t>
            </w:r>
            <w:r w:rsidRPr="00597722">
              <w:rPr>
                <w:rFonts w:cs="Arial"/>
              </w:rPr>
              <w:t>Commission.</w:t>
            </w:r>
          </w:p>
        </w:tc>
        <w:tc>
          <w:tcPr>
            <w:tcW w:w="5897" w:type="dxa"/>
            <w:shd w:val="clear" w:color="auto" w:fill="auto"/>
          </w:tcPr>
          <w:p w:rsidR="00D33C16" w:rsidRDefault="00D33C16" w:rsidP="00DF4C0C">
            <w:pPr>
              <w:pStyle w:val="BlockText"/>
              <w:ind w:right="0"/>
            </w:pPr>
          </w:p>
        </w:tc>
        <w:tc>
          <w:tcPr>
            <w:tcW w:w="3364" w:type="dxa"/>
            <w:shd w:val="clear" w:color="auto" w:fill="auto"/>
          </w:tcPr>
          <w:p w:rsidR="00D33C16" w:rsidRDefault="00D33C16" w:rsidP="00DF4C0C">
            <w:pPr>
              <w:pStyle w:val="BlockText"/>
              <w:ind w:right="0"/>
            </w:pPr>
          </w:p>
        </w:tc>
      </w:tr>
      <w:tr w:rsidR="00D33C16" w:rsidTr="002B42C9">
        <w:tc>
          <w:tcPr>
            <w:tcW w:w="6091" w:type="dxa"/>
            <w:shd w:val="clear" w:color="auto" w:fill="auto"/>
          </w:tcPr>
          <w:p w:rsidR="00D33C16" w:rsidRPr="00603188" w:rsidRDefault="00603188" w:rsidP="00603188">
            <w:pPr>
              <w:pStyle w:val="BlockText"/>
              <w:ind w:left="731" w:hanging="709"/>
              <w:jc w:val="both"/>
              <w:rPr>
                <w:rFonts w:cs="Arial"/>
              </w:rPr>
            </w:pPr>
            <w:r w:rsidRPr="001A140C">
              <w:t>(</w:t>
            </w:r>
            <w:r>
              <w:t>3.3</w:t>
            </w:r>
            <w:r w:rsidRPr="001A140C">
              <w:t>)</w:t>
            </w:r>
            <w:r w:rsidRPr="001A140C">
              <w:tab/>
            </w:r>
            <w:r w:rsidRPr="00603188">
              <w:rPr>
                <w:rFonts w:cs="Arial"/>
              </w:rPr>
              <w:t>The GTO develops, monitors and continually improves its performance and strategic directions using performance data, the results of audits, assessments and surveys plus any other relevant information</w:t>
            </w:r>
          </w:p>
        </w:tc>
        <w:tc>
          <w:tcPr>
            <w:tcW w:w="5897" w:type="dxa"/>
            <w:shd w:val="clear" w:color="auto" w:fill="auto"/>
          </w:tcPr>
          <w:p w:rsidR="00D33C16" w:rsidRDefault="00D33C16" w:rsidP="00DF4C0C">
            <w:pPr>
              <w:pStyle w:val="BlockText"/>
              <w:ind w:right="0"/>
            </w:pPr>
          </w:p>
        </w:tc>
        <w:tc>
          <w:tcPr>
            <w:tcW w:w="3364" w:type="dxa"/>
            <w:shd w:val="clear" w:color="auto" w:fill="auto"/>
          </w:tcPr>
          <w:p w:rsidR="00D33C16" w:rsidRDefault="00D33C16" w:rsidP="00DF4C0C">
            <w:pPr>
              <w:pStyle w:val="BlockText"/>
              <w:ind w:right="0"/>
            </w:pPr>
          </w:p>
        </w:tc>
      </w:tr>
      <w:tr w:rsidR="00D33C16" w:rsidTr="002B42C9">
        <w:tc>
          <w:tcPr>
            <w:tcW w:w="6091" w:type="dxa"/>
            <w:shd w:val="clear" w:color="auto" w:fill="auto"/>
          </w:tcPr>
          <w:p w:rsidR="00D33C16" w:rsidRPr="00597722" w:rsidRDefault="0069441A" w:rsidP="0069441A">
            <w:pPr>
              <w:pStyle w:val="BlockText"/>
              <w:ind w:left="731" w:hanging="709"/>
              <w:jc w:val="both"/>
            </w:pPr>
            <w:r w:rsidRPr="001A140C">
              <w:t>(</w:t>
            </w:r>
            <w:r>
              <w:t>3</w:t>
            </w:r>
            <w:r w:rsidRPr="001A140C">
              <w:t>.</w:t>
            </w:r>
            <w:r>
              <w:t>4</w:t>
            </w:r>
            <w:r w:rsidRPr="001A140C">
              <w:t>)</w:t>
            </w:r>
            <w:r w:rsidRPr="001A140C">
              <w:tab/>
            </w:r>
            <w:r w:rsidRPr="00597722">
              <w:rPr>
                <w:rFonts w:cs="Arial"/>
              </w:rPr>
              <w:t>The GTO can demonstrate that it is financially viable and informs the registering body where early signs indicate issues associated with viability.</w:t>
            </w:r>
          </w:p>
        </w:tc>
        <w:tc>
          <w:tcPr>
            <w:tcW w:w="5897" w:type="dxa"/>
            <w:shd w:val="clear" w:color="auto" w:fill="auto"/>
          </w:tcPr>
          <w:p w:rsidR="00D33C16" w:rsidRDefault="00D33C16" w:rsidP="00DF4C0C">
            <w:pPr>
              <w:pStyle w:val="BlockText"/>
              <w:ind w:right="0"/>
            </w:pPr>
          </w:p>
        </w:tc>
        <w:tc>
          <w:tcPr>
            <w:tcW w:w="3364" w:type="dxa"/>
            <w:shd w:val="clear" w:color="auto" w:fill="auto"/>
          </w:tcPr>
          <w:p w:rsidR="00D33C16" w:rsidRDefault="00D33C16" w:rsidP="00DF4C0C">
            <w:pPr>
              <w:pStyle w:val="BlockText"/>
              <w:ind w:right="0"/>
            </w:pPr>
          </w:p>
        </w:tc>
      </w:tr>
    </w:tbl>
    <w:p w:rsidR="00B334DE" w:rsidRDefault="00B334D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5897"/>
        <w:gridCol w:w="3364"/>
      </w:tblGrid>
      <w:tr w:rsidR="00B334DE" w:rsidRPr="007B6EA3" w:rsidTr="00696848">
        <w:tc>
          <w:tcPr>
            <w:tcW w:w="6091" w:type="dxa"/>
            <w:shd w:val="pct12" w:color="auto" w:fill="auto"/>
          </w:tcPr>
          <w:p w:rsidR="00B334DE" w:rsidRPr="0052402D" w:rsidRDefault="00B334DE" w:rsidP="00696848">
            <w:pPr>
              <w:pStyle w:val="BlockText"/>
              <w:ind w:right="0"/>
              <w:jc w:val="center"/>
              <w:rPr>
                <w:rFonts w:cs="Arial"/>
                <w:b/>
              </w:rPr>
            </w:pPr>
            <w:r w:rsidRPr="0052402D">
              <w:rPr>
                <w:rFonts w:cs="Arial"/>
                <w:b/>
              </w:rPr>
              <w:t>Standard</w:t>
            </w:r>
          </w:p>
        </w:tc>
        <w:tc>
          <w:tcPr>
            <w:tcW w:w="5897" w:type="dxa"/>
            <w:shd w:val="pct12" w:color="auto" w:fill="auto"/>
          </w:tcPr>
          <w:p w:rsidR="00B334DE" w:rsidRPr="0052402D" w:rsidRDefault="00B334DE" w:rsidP="00696848">
            <w:pPr>
              <w:pStyle w:val="BlockText"/>
              <w:ind w:right="0"/>
              <w:jc w:val="center"/>
              <w:rPr>
                <w:rFonts w:cs="Arial"/>
                <w:b/>
              </w:rPr>
            </w:pPr>
            <w:r w:rsidRPr="0052402D">
              <w:rPr>
                <w:rFonts w:cs="Arial"/>
                <w:b/>
              </w:rPr>
              <w:t>Evidence</w:t>
            </w:r>
          </w:p>
        </w:tc>
        <w:tc>
          <w:tcPr>
            <w:tcW w:w="3364" w:type="dxa"/>
            <w:shd w:val="pct12" w:color="auto" w:fill="auto"/>
          </w:tcPr>
          <w:p w:rsidR="00B334DE" w:rsidRPr="007B6EA3" w:rsidRDefault="00B334DE" w:rsidP="0052402D">
            <w:pPr>
              <w:jc w:val="center"/>
              <w:rPr>
                <w:rFonts w:cs="Arial"/>
                <w:b/>
                <w:sz w:val="20"/>
                <w:szCs w:val="20"/>
                <w:lang w:val="fr-FR"/>
              </w:rPr>
            </w:pPr>
            <w:r w:rsidRPr="007B6EA3">
              <w:rPr>
                <w:rFonts w:cs="Arial"/>
                <w:b/>
                <w:sz w:val="20"/>
                <w:szCs w:val="20"/>
                <w:lang w:val="fr-FR"/>
              </w:rPr>
              <w:t>Compliant (COM)</w:t>
            </w:r>
            <w:r w:rsidR="0052402D" w:rsidRPr="007B6EA3">
              <w:rPr>
                <w:rFonts w:cs="Arial"/>
                <w:b/>
                <w:sz w:val="20"/>
                <w:szCs w:val="20"/>
                <w:lang w:val="fr-FR"/>
              </w:rPr>
              <w:t xml:space="preserve"> / </w:t>
            </w:r>
            <w:r w:rsidR="0052402D" w:rsidRPr="007B6EA3">
              <w:rPr>
                <w:rFonts w:cs="Arial"/>
                <w:b/>
                <w:sz w:val="20"/>
                <w:szCs w:val="20"/>
                <w:lang w:val="fr-FR"/>
              </w:rPr>
              <w:br/>
            </w:r>
            <w:r w:rsidRPr="007B6EA3">
              <w:rPr>
                <w:rFonts w:cs="Arial"/>
                <w:b/>
                <w:sz w:val="20"/>
                <w:szCs w:val="20"/>
                <w:lang w:val="fr-FR"/>
              </w:rPr>
              <w:t>Non compliant (NC)</w:t>
            </w:r>
          </w:p>
        </w:tc>
      </w:tr>
      <w:tr w:rsidR="00B334DE" w:rsidRPr="00B334DE" w:rsidTr="002B42C9">
        <w:tc>
          <w:tcPr>
            <w:tcW w:w="6091" w:type="dxa"/>
            <w:shd w:val="clear" w:color="auto" w:fill="auto"/>
          </w:tcPr>
          <w:p w:rsidR="00B334DE" w:rsidRPr="00C23C45" w:rsidRDefault="006C59F0" w:rsidP="006C59F0">
            <w:pPr>
              <w:pStyle w:val="BlockText"/>
              <w:ind w:left="731" w:hanging="709"/>
              <w:jc w:val="both"/>
            </w:pPr>
            <w:r w:rsidRPr="001A140C">
              <w:t>(</w:t>
            </w:r>
            <w:r>
              <w:t>3</w:t>
            </w:r>
            <w:r w:rsidRPr="001A140C">
              <w:t>.</w:t>
            </w:r>
            <w:r>
              <w:t>5</w:t>
            </w:r>
            <w:r w:rsidRPr="001A140C">
              <w:t>)</w:t>
            </w:r>
            <w:r w:rsidRPr="001A140C">
              <w:tab/>
            </w:r>
            <w:r>
              <w:rPr>
                <w:rFonts w:cs="Arial"/>
              </w:rPr>
              <w:t xml:space="preserve">The GTO holds appropriate insurances according to the size and scope of its operations. </w:t>
            </w:r>
          </w:p>
        </w:tc>
        <w:tc>
          <w:tcPr>
            <w:tcW w:w="5897" w:type="dxa"/>
            <w:shd w:val="clear" w:color="auto" w:fill="auto"/>
          </w:tcPr>
          <w:p w:rsidR="00B334DE" w:rsidRPr="00B334DE" w:rsidRDefault="00B334DE" w:rsidP="00B334DE">
            <w:pPr>
              <w:pStyle w:val="BlockText"/>
              <w:ind w:right="0"/>
            </w:pPr>
          </w:p>
        </w:tc>
        <w:tc>
          <w:tcPr>
            <w:tcW w:w="3364" w:type="dxa"/>
            <w:shd w:val="clear" w:color="auto" w:fill="auto"/>
          </w:tcPr>
          <w:p w:rsidR="00B334DE" w:rsidRPr="00B334DE" w:rsidRDefault="00B334DE" w:rsidP="00B334DE">
            <w:pPr>
              <w:pStyle w:val="BlockText"/>
              <w:ind w:right="0"/>
            </w:pPr>
          </w:p>
        </w:tc>
      </w:tr>
      <w:tr w:rsidR="00B334DE" w:rsidRPr="00B334DE" w:rsidTr="002B42C9">
        <w:tc>
          <w:tcPr>
            <w:tcW w:w="6091" w:type="dxa"/>
            <w:shd w:val="clear" w:color="auto" w:fill="auto"/>
          </w:tcPr>
          <w:p w:rsidR="00B334DE" w:rsidRPr="00C23C45" w:rsidRDefault="006C59F0" w:rsidP="009727C7">
            <w:pPr>
              <w:pStyle w:val="BlockText"/>
              <w:ind w:left="731" w:hanging="709"/>
              <w:jc w:val="both"/>
            </w:pPr>
            <w:r w:rsidRPr="001A140C">
              <w:t>(</w:t>
            </w:r>
            <w:r w:rsidR="009727C7">
              <w:t>3</w:t>
            </w:r>
            <w:r w:rsidRPr="001A140C">
              <w:t>.</w:t>
            </w:r>
            <w:r w:rsidR="009727C7">
              <w:t>6</w:t>
            </w:r>
            <w:r w:rsidRPr="001A140C">
              <w:t>)</w:t>
            </w:r>
            <w:r w:rsidRPr="001A140C">
              <w:tab/>
            </w:r>
            <w:r w:rsidR="009727C7" w:rsidRPr="00C23C45">
              <w:t>The GTO adheres to the principles of access and equity in all operations including marketing, recruitment, monitoring, support, governance and administration.</w:t>
            </w:r>
          </w:p>
        </w:tc>
        <w:tc>
          <w:tcPr>
            <w:tcW w:w="5897" w:type="dxa"/>
            <w:shd w:val="clear" w:color="auto" w:fill="auto"/>
          </w:tcPr>
          <w:p w:rsidR="00B334DE" w:rsidRPr="00B334DE" w:rsidRDefault="00B334DE" w:rsidP="00B334DE">
            <w:pPr>
              <w:pStyle w:val="BlockText"/>
              <w:ind w:right="0"/>
            </w:pPr>
          </w:p>
        </w:tc>
        <w:tc>
          <w:tcPr>
            <w:tcW w:w="3364" w:type="dxa"/>
            <w:shd w:val="clear" w:color="auto" w:fill="auto"/>
          </w:tcPr>
          <w:p w:rsidR="00B334DE" w:rsidRPr="00B334DE" w:rsidRDefault="00B334DE" w:rsidP="00B334DE">
            <w:pPr>
              <w:pStyle w:val="BlockText"/>
              <w:ind w:right="0"/>
            </w:pPr>
          </w:p>
        </w:tc>
      </w:tr>
      <w:tr w:rsidR="00B334DE" w:rsidRPr="00B334DE" w:rsidTr="002B42C9">
        <w:tc>
          <w:tcPr>
            <w:tcW w:w="6091" w:type="dxa"/>
            <w:shd w:val="clear" w:color="auto" w:fill="auto"/>
          </w:tcPr>
          <w:p w:rsidR="00B334DE" w:rsidRPr="009727C7" w:rsidRDefault="006C59F0" w:rsidP="009727C7">
            <w:pPr>
              <w:pStyle w:val="BlockText"/>
              <w:ind w:left="731" w:hanging="709"/>
              <w:jc w:val="both"/>
              <w:rPr>
                <w:rFonts w:cs="Arial"/>
              </w:rPr>
            </w:pPr>
            <w:r w:rsidRPr="001A140C">
              <w:t>(</w:t>
            </w:r>
            <w:r w:rsidR="009727C7">
              <w:t>3</w:t>
            </w:r>
            <w:r w:rsidRPr="001A140C">
              <w:t>.</w:t>
            </w:r>
            <w:r w:rsidR="009727C7">
              <w:t>7</w:t>
            </w:r>
            <w:r w:rsidRPr="001A140C">
              <w:t>)</w:t>
            </w:r>
            <w:r w:rsidRPr="001A140C">
              <w:tab/>
            </w:r>
            <w:r w:rsidR="009727C7" w:rsidRPr="00C23C45">
              <w:rPr>
                <w:rFonts w:cs="Arial"/>
              </w:rPr>
              <w:t>Clear and accurate marketing, advertising materials and other information is provided by the GTO regarding GTO services, the role and responsibilities of the host employer and the requirements of</w:t>
            </w:r>
            <w:r w:rsidR="009727C7">
              <w:rPr>
                <w:rFonts w:cs="Arial"/>
              </w:rPr>
              <w:t xml:space="preserve"> the apprenticeship/traineeship. </w:t>
            </w:r>
          </w:p>
        </w:tc>
        <w:tc>
          <w:tcPr>
            <w:tcW w:w="5897" w:type="dxa"/>
            <w:shd w:val="clear" w:color="auto" w:fill="auto"/>
          </w:tcPr>
          <w:p w:rsidR="00B334DE" w:rsidRPr="00B334DE" w:rsidRDefault="00B334DE" w:rsidP="00B334DE">
            <w:pPr>
              <w:pStyle w:val="BlockText"/>
              <w:ind w:right="0"/>
            </w:pPr>
          </w:p>
        </w:tc>
        <w:tc>
          <w:tcPr>
            <w:tcW w:w="3364" w:type="dxa"/>
            <w:shd w:val="clear" w:color="auto" w:fill="auto"/>
          </w:tcPr>
          <w:p w:rsidR="00B334DE" w:rsidRPr="00B334DE" w:rsidRDefault="00B334DE" w:rsidP="00B334DE">
            <w:pPr>
              <w:pStyle w:val="BlockText"/>
              <w:ind w:right="0"/>
            </w:pPr>
          </w:p>
        </w:tc>
      </w:tr>
      <w:tr w:rsidR="00B334DE" w:rsidRPr="00B334DE" w:rsidTr="002B42C9">
        <w:tc>
          <w:tcPr>
            <w:tcW w:w="6091" w:type="dxa"/>
            <w:shd w:val="clear" w:color="auto" w:fill="auto"/>
          </w:tcPr>
          <w:p w:rsidR="00B334DE" w:rsidRPr="00267847" w:rsidRDefault="006C59F0" w:rsidP="00267847">
            <w:pPr>
              <w:pStyle w:val="BlockText"/>
              <w:ind w:left="731" w:hanging="709"/>
              <w:jc w:val="both"/>
              <w:rPr>
                <w:rFonts w:cs="Arial"/>
              </w:rPr>
            </w:pPr>
            <w:r w:rsidRPr="001A140C">
              <w:t>(</w:t>
            </w:r>
            <w:r w:rsidR="0019750C">
              <w:t>3</w:t>
            </w:r>
            <w:r w:rsidRPr="001A140C">
              <w:t>.</w:t>
            </w:r>
            <w:r w:rsidR="0019750C">
              <w:t>8</w:t>
            </w:r>
            <w:r w:rsidRPr="001A140C">
              <w:t>)</w:t>
            </w:r>
            <w:r w:rsidRPr="001A140C">
              <w:tab/>
            </w:r>
            <w:r w:rsidR="00267847" w:rsidRPr="00267847">
              <w:rPr>
                <w:rFonts w:cs="Arial"/>
              </w:rPr>
              <w:t>Complaints and appeals are dealt with by the GTO transparently in accordance with a documented complaints and appeals process, or referred to State/Territory dispute resolution mechanisms, where the completion of the Training Contract is at risk</w:t>
            </w:r>
            <w:r w:rsidR="00267847">
              <w:rPr>
                <w:rFonts w:cs="Arial"/>
              </w:rPr>
              <w:t>.</w:t>
            </w:r>
          </w:p>
        </w:tc>
        <w:tc>
          <w:tcPr>
            <w:tcW w:w="5897" w:type="dxa"/>
            <w:shd w:val="clear" w:color="auto" w:fill="auto"/>
          </w:tcPr>
          <w:p w:rsidR="00B334DE" w:rsidRPr="00B334DE" w:rsidRDefault="00B334DE" w:rsidP="00B334DE">
            <w:pPr>
              <w:pStyle w:val="BlockText"/>
              <w:ind w:right="0"/>
            </w:pPr>
          </w:p>
        </w:tc>
        <w:tc>
          <w:tcPr>
            <w:tcW w:w="3364" w:type="dxa"/>
            <w:shd w:val="clear" w:color="auto" w:fill="auto"/>
          </w:tcPr>
          <w:p w:rsidR="00B334DE" w:rsidRPr="00B334DE" w:rsidRDefault="00B334DE" w:rsidP="00B334DE">
            <w:pPr>
              <w:pStyle w:val="BlockText"/>
              <w:ind w:right="0"/>
            </w:pPr>
          </w:p>
        </w:tc>
      </w:tr>
    </w:tbl>
    <w:p w:rsidR="002B42C9" w:rsidRPr="00B334DE" w:rsidRDefault="002B42C9" w:rsidP="002B42C9"/>
    <w:sectPr w:rsidR="002B42C9" w:rsidRPr="00B334DE" w:rsidSect="00413583">
      <w:headerReference w:type="even" r:id="rId8"/>
      <w:headerReference w:type="default" r:id="rId9"/>
      <w:footerReference w:type="even" r:id="rId10"/>
      <w:footerReference w:type="default" r:id="rId11"/>
      <w:headerReference w:type="first" r:id="rId12"/>
      <w:footerReference w:type="first" r:id="rId13"/>
      <w:type w:val="continuous"/>
      <w:pgSz w:w="16840" w:h="11900" w:orient="landscape"/>
      <w:pgMar w:top="720" w:right="720" w:bottom="720" w:left="720"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FE" w:rsidRDefault="00453CFE" w:rsidP="00190C24">
      <w:r>
        <w:separator/>
      </w:r>
    </w:p>
  </w:endnote>
  <w:endnote w:type="continuationSeparator" w:id="0">
    <w:p w:rsidR="00453CFE" w:rsidRDefault="00453CF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A3" w:rsidRDefault="007B6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44" w:rsidRDefault="00753644">
    <w:pPr>
      <w:pStyle w:val="Footer"/>
    </w:pPr>
    <w:r>
      <w:rPr>
        <w:noProof/>
        <w:lang w:eastAsia="zh-TW"/>
      </w:rPr>
      <w:drawing>
        <wp:anchor distT="0" distB="0" distL="114300" distR="114300" simplePos="0" relativeHeight="251659264" behindDoc="1" locked="0" layoutInCell="1" allowOverlap="1" wp14:anchorId="4BDF8591" wp14:editId="5913E07E">
          <wp:simplePos x="0" y="0"/>
          <wp:positionH relativeFrom="page">
            <wp:align>left</wp:align>
          </wp:positionH>
          <wp:positionV relativeFrom="page">
            <wp:align>bottom</wp:align>
          </wp:positionV>
          <wp:extent cx="10692000" cy="9720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 A4 landscape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A3" w:rsidRDefault="007B6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FE" w:rsidRDefault="00453CFE" w:rsidP="00190C24">
      <w:r>
        <w:separator/>
      </w:r>
    </w:p>
  </w:footnote>
  <w:footnote w:type="continuationSeparator" w:id="0">
    <w:p w:rsidR="00453CFE" w:rsidRDefault="00453CFE"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A3" w:rsidRDefault="007B6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23A5584E" wp14:editId="19397238">
          <wp:simplePos x="0" y="0"/>
          <wp:positionH relativeFrom="page">
            <wp:align>left</wp:align>
          </wp:positionH>
          <wp:positionV relativeFrom="page">
            <wp:align>top</wp:align>
          </wp:positionV>
          <wp:extent cx="10691495" cy="50355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50290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A3" w:rsidRDefault="007B6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16C"/>
    <w:multiLevelType w:val="hybridMultilevel"/>
    <w:tmpl w:val="FF8653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ED4211"/>
    <w:multiLevelType w:val="hybridMultilevel"/>
    <w:tmpl w:val="E3AE3B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4C6444"/>
    <w:multiLevelType w:val="hybridMultilevel"/>
    <w:tmpl w:val="57F4B2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EC3184F"/>
    <w:multiLevelType w:val="multilevel"/>
    <w:tmpl w:val="73BC7EDA"/>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38DD3267"/>
    <w:multiLevelType w:val="hybridMultilevel"/>
    <w:tmpl w:val="98C2C2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69454353"/>
    <w:multiLevelType w:val="multilevel"/>
    <w:tmpl w:val="0AF22BE8"/>
    <w:lvl w:ilvl="0">
      <w:start w:val="1"/>
      <w:numFmt w:val="none"/>
      <w:lvlText w:val="(3.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6D761980"/>
    <w:multiLevelType w:val="hybridMultilevel"/>
    <w:tmpl w:val="CD9422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7930BB5"/>
    <w:multiLevelType w:val="multilevel"/>
    <w:tmpl w:val="AC086188"/>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797C5EBB"/>
    <w:multiLevelType w:val="multilevel"/>
    <w:tmpl w:val="D8801D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1"/>
  </w:num>
  <w:num w:numId="4">
    <w:abstractNumId w:val="10"/>
  </w:num>
  <w:num w:numId="5">
    <w:abstractNumId w:val="9"/>
  </w:num>
  <w:num w:numId="6">
    <w:abstractNumId w:val="8"/>
  </w:num>
  <w:num w:numId="7">
    <w:abstractNumId w:val="5"/>
  </w:num>
  <w:num w:numId="8">
    <w:abstractNumId w:val="3"/>
  </w:num>
  <w:num w:numId="9">
    <w:abstractNumId w:val="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FE"/>
    <w:rsid w:val="000436FC"/>
    <w:rsid w:val="000475C9"/>
    <w:rsid w:val="00075D6C"/>
    <w:rsid w:val="000A7230"/>
    <w:rsid w:val="000B61AC"/>
    <w:rsid w:val="000F0889"/>
    <w:rsid w:val="000F5EE3"/>
    <w:rsid w:val="000F7FDE"/>
    <w:rsid w:val="00155BA9"/>
    <w:rsid w:val="00163437"/>
    <w:rsid w:val="0017085C"/>
    <w:rsid w:val="00190C24"/>
    <w:rsid w:val="0019750C"/>
    <w:rsid w:val="001E78CA"/>
    <w:rsid w:val="002371F7"/>
    <w:rsid w:val="00253C8D"/>
    <w:rsid w:val="00267847"/>
    <w:rsid w:val="0027666D"/>
    <w:rsid w:val="00282246"/>
    <w:rsid w:val="00285054"/>
    <w:rsid w:val="0029515B"/>
    <w:rsid w:val="002B42C9"/>
    <w:rsid w:val="002F78A2"/>
    <w:rsid w:val="00333459"/>
    <w:rsid w:val="00364D1A"/>
    <w:rsid w:val="003652D6"/>
    <w:rsid w:val="00365BEA"/>
    <w:rsid w:val="003D344D"/>
    <w:rsid w:val="003F04CD"/>
    <w:rsid w:val="004034CA"/>
    <w:rsid w:val="00404BCA"/>
    <w:rsid w:val="0041264A"/>
    <w:rsid w:val="00413583"/>
    <w:rsid w:val="00444F85"/>
    <w:rsid w:val="00451B5D"/>
    <w:rsid w:val="004527F9"/>
    <w:rsid w:val="00453B61"/>
    <w:rsid w:val="00453CFE"/>
    <w:rsid w:val="004912DC"/>
    <w:rsid w:val="004C2BF0"/>
    <w:rsid w:val="004E2CF2"/>
    <w:rsid w:val="004F2F54"/>
    <w:rsid w:val="0052402D"/>
    <w:rsid w:val="00541057"/>
    <w:rsid w:val="00582270"/>
    <w:rsid w:val="00590218"/>
    <w:rsid w:val="0059761A"/>
    <w:rsid w:val="00597722"/>
    <w:rsid w:val="005979F1"/>
    <w:rsid w:val="005F4331"/>
    <w:rsid w:val="00603188"/>
    <w:rsid w:val="006239A5"/>
    <w:rsid w:val="00634114"/>
    <w:rsid w:val="00636AB7"/>
    <w:rsid w:val="00636B71"/>
    <w:rsid w:val="00653CFD"/>
    <w:rsid w:val="0068279D"/>
    <w:rsid w:val="0069441A"/>
    <w:rsid w:val="006C3D8E"/>
    <w:rsid w:val="006C59F0"/>
    <w:rsid w:val="006D7F75"/>
    <w:rsid w:val="00717791"/>
    <w:rsid w:val="00717A57"/>
    <w:rsid w:val="00730E92"/>
    <w:rsid w:val="0075091C"/>
    <w:rsid w:val="00753644"/>
    <w:rsid w:val="007656FC"/>
    <w:rsid w:val="00775795"/>
    <w:rsid w:val="007813C5"/>
    <w:rsid w:val="00781EFA"/>
    <w:rsid w:val="007B6EA3"/>
    <w:rsid w:val="007D1162"/>
    <w:rsid w:val="007D5E72"/>
    <w:rsid w:val="00853B7B"/>
    <w:rsid w:val="008B403A"/>
    <w:rsid w:val="008C4672"/>
    <w:rsid w:val="008C4D50"/>
    <w:rsid w:val="008E6F9C"/>
    <w:rsid w:val="008F068E"/>
    <w:rsid w:val="008F4A27"/>
    <w:rsid w:val="00907963"/>
    <w:rsid w:val="00940C2F"/>
    <w:rsid w:val="0096352A"/>
    <w:rsid w:val="00963843"/>
    <w:rsid w:val="0096595E"/>
    <w:rsid w:val="009727C7"/>
    <w:rsid w:val="00972F5A"/>
    <w:rsid w:val="00981F2D"/>
    <w:rsid w:val="009848D5"/>
    <w:rsid w:val="00985A11"/>
    <w:rsid w:val="00995EA6"/>
    <w:rsid w:val="009A34E0"/>
    <w:rsid w:val="009E5EE5"/>
    <w:rsid w:val="009F2BD2"/>
    <w:rsid w:val="00A47F67"/>
    <w:rsid w:val="00A644BE"/>
    <w:rsid w:val="00A65710"/>
    <w:rsid w:val="00A67A1B"/>
    <w:rsid w:val="00A778A7"/>
    <w:rsid w:val="00A87C08"/>
    <w:rsid w:val="00AB0A25"/>
    <w:rsid w:val="00AB0C69"/>
    <w:rsid w:val="00AD2F80"/>
    <w:rsid w:val="00AD56BC"/>
    <w:rsid w:val="00B25486"/>
    <w:rsid w:val="00B27731"/>
    <w:rsid w:val="00B33337"/>
    <w:rsid w:val="00B334DE"/>
    <w:rsid w:val="00B57089"/>
    <w:rsid w:val="00B61470"/>
    <w:rsid w:val="00B84BE3"/>
    <w:rsid w:val="00B8699D"/>
    <w:rsid w:val="00B96DC2"/>
    <w:rsid w:val="00BD7523"/>
    <w:rsid w:val="00C33DF9"/>
    <w:rsid w:val="00C36EDF"/>
    <w:rsid w:val="00C50594"/>
    <w:rsid w:val="00C719DF"/>
    <w:rsid w:val="00C85C47"/>
    <w:rsid w:val="00C91A66"/>
    <w:rsid w:val="00CA4416"/>
    <w:rsid w:val="00CB07AD"/>
    <w:rsid w:val="00CD793C"/>
    <w:rsid w:val="00CF107F"/>
    <w:rsid w:val="00D01CD2"/>
    <w:rsid w:val="00D33C16"/>
    <w:rsid w:val="00D75050"/>
    <w:rsid w:val="00D842DF"/>
    <w:rsid w:val="00DC1DF1"/>
    <w:rsid w:val="00DC5E03"/>
    <w:rsid w:val="00E22573"/>
    <w:rsid w:val="00E26F9B"/>
    <w:rsid w:val="00E455C0"/>
    <w:rsid w:val="00E51347"/>
    <w:rsid w:val="00E92C51"/>
    <w:rsid w:val="00E9402B"/>
    <w:rsid w:val="00EB26B9"/>
    <w:rsid w:val="00EC215D"/>
    <w:rsid w:val="00EF1087"/>
    <w:rsid w:val="00EF297E"/>
    <w:rsid w:val="00EF474F"/>
    <w:rsid w:val="00EF4AC5"/>
    <w:rsid w:val="00F23BBF"/>
    <w:rsid w:val="00F37770"/>
    <w:rsid w:val="00F40B93"/>
    <w:rsid w:val="00F447A2"/>
    <w:rsid w:val="00F56ADB"/>
    <w:rsid w:val="00F75FD5"/>
    <w:rsid w:val="00FA22A6"/>
    <w:rsid w:val="00FA266D"/>
    <w:rsid w:val="00FA52EF"/>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8B403A"/>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paragraph" w:styleId="BlockText">
    <w:name w:val="Block Text"/>
    <w:basedOn w:val="Normal"/>
    <w:rsid w:val="00B84BE3"/>
    <w:pPr>
      <w:suppressAutoHyphens/>
      <w:spacing w:after="280" w:line="300" w:lineRule="exact"/>
      <w:ind w:right="45"/>
    </w:pPr>
    <w:rPr>
      <w:rFonts w:eastAsia="Times" w:cs="Times New Roman"/>
      <w:sz w:val="20"/>
      <w:szCs w:val="20"/>
      <w:lang w:eastAsia="en-AU"/>
    </w:rPr>
  </w:style>
  <w:style w:type="table" w:styleId="TableGrid">
    <w:name w:val="Table Grid"/>
    <w:basedOn w:val="TableNormal"/>
    <w:rsid w:val="00981F2D"/>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3BAF22-35C1-4A32-9132-DFBF0D69BB73}">
  <ds:schemaRefs>
    <ds:schemaRef ds:uri="http://schemas.openxmlformats.org/officeDocument/2006/bibliography"/>
  </ds:schemaRefs>
</ds:datastoreItem>
</file>

<file path=customXml/itemProps2.xml><?xml version="1.0" encoding="utf-8"?>
<ds:datastoreItem xmlns:ds="http://schemas.openxmlformats.org/officeDocument/2006/customXml" ds:itemID="{F7761D6C-CAFE-428E-899A-E240B4E45F59}"/>
</file>

<file path=customXml/itemProps3.xml><?xml version="1.0" encoding="utf-8"?>
<ds:datastoreItem xmlns:ds="http://schemas.openxmlformats.org/officeDocument/2006/customXml" ds:itemID="{6A7FDE94-2E31-4A5C-8BC0-8B8DD136EA3F}"/>
</file>

<file path=customXml/itemProps4.xml><?xml version="1.0" encoding="utf-8"?>
<ds:datastoreItem xmlns:ds="http://schemas.openxmlformats.org/officeDocument/2006/customXml" ds:itemID="{7E878C5A-A1D9-42B9-AE22-2BA435CDC87F}"/>
</file>

<file path=docProps/app.xml><?xml version="1.0" encoding="utf-8"?>
<Properties xmlns="http://schemas.openxmlformats.org/officeDocument/2006/extended-properties" xmlns:vt="http://schemas.openxmlformats.org/officeDocument/2006/docPropsVTypes">
  <Template>Normal.dotm</Template>
  <TotalTime>0</TotalTime>
  <Pages>6</Pages>
  <Words>668</Words>
  <Characters>4737</Characters>
  <Application>Microsoft Office Word</Application>
  <DocSecurity>0</DocSecurity>
  <Lines>169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desk based audit</dc:title>
  <dc:subject/>
  <dc:creator/>
  <cp:keywords/>
  <dc:description/>
  <cp:lastModifiedBy/>
  <cp:revision>1</cp:revision>
  <dcterms:created xsi:type="dcterms:W3CDTF">2018-12-20T04:26:00Z</dcterms:created>
  <dcterms:modified xsi:type="dcterms:W3CDTF">2018-12-20T04:26:00Z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