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CA" w:rsidRPr="00F16FC7" w:rsidRDefault="00E22573" w:rsidP="001E78CA">
      <w:pPr>
        <w:pStyle w:val="Heading2"/>
        <w:spacing w:before="0"/>
        <w:rPr>
          <w:lang w:eastAsia="en-AU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DA6C1" wp14:editId="3EF302B8">
                <wp:simplePos x="0" y="0"/>
                <wp:positionH relativeFrom="page">
                  <wp:posOffset>612140</wp:posOffset>
                </wp:positionH>
                <wp:positionV relativeFrom="page">
                  <wp:posOffset>694690</wp:posOffset>
                </wp:positionV>
                <wp:extent cx="9709200" cy="687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73" w:rsidRPr="00190C24" w:rsidRDefault="001E78CA" w:rsidP="00E22573">
                            <w:pPr>
                              <w:pStyle w:val="Heading1"/>
                            </w:pPr>
                            <w:bookmarkStart w:id="0" w:name="_GoBack"/>
                            <w:r>
                              <w:t>Establishment costs and sources</w:t>
                            </w:r>
                          </w:p>
                          <w:bookmarkEnd w:id="0"/>
                          <w:p w:rsidR="00E22573" w:rsidRDefault="00E2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FDA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2pt;margin-top:54.7pt;width:764.5pt;height:5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" filled="f" stroked="f">
                <v:textbox>
                  <w:txbxContent>
                    <w:p w:rsidR="00E22573" w:rsidRPr="00190C24" w:rsidRDefault="001E78CA" w:rsidP="00E22573">
                      <w:pPr>
                        <w:pStyle w:val="Heading1"/>
                      </w:pPr>
                      <w:r>
                        <w:t>Establishment costs and sources</w:t>
                      </w:r>
                    </w:p>
                    <w:p w:rsidR="00E22573" w:rsidRDefault="00E22573"/>
                  </w:txbxContent>
                </v:textbox>
                <w10:wrap anchorx="page" anchory="page"/>
              </v:shape>
            </w:pict>
          </mc:Fallback>
        </mc:AlternateContent>
      </w:r>
    </w:p>
    <w:p w:rsidR="00B84BE3" w:rsidRPr="00B2066D" w:rsidRDefault="00B84BE3" w:rsidP="00B84BE3">
      <w:pPr>
        <w:pStyle w:val="BlockText"/>
        <w:tabs>
          <w:tab w:val="left" w:pos="11482"/>
        </w:tabs>
        <w:spacing w:after="0"/>
        <w:ind w:right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Version 9</w:t>
      </w:r>
    </w:p>
    <w:p w:rsidR="00B84BE3" w:rsidRPr="00530E3F" w:rsidRDefault="00B84BE3" w:rsidP="00B84BE3">
      <w:pPr>
        <w:pStyle w:val="BlockText"/>
        <w:tabs>
          <w:tab w:val="left" w:pos="11482"/>
        </w:tabs>
        <w:spacing w:after="0"/>
        <w:ind w:right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D00483">
        <w:rPr>
          <w:rFonts w:cs="Arial"/>
          <w:sz w:val="16"/>
          <w:szCs w:val="16"/>
        </w:rPr>
        <w:t>11 October</w:t>
      </w:r>
      <w:r>
        <w:rPr>
          <w:rFonts w:cs="Arial"/>
          <w:sz w:val="16"/>
          <w:szCs w:val="16"/>
        </w:rPr>
        <w:t xml:space="preserve"> 2018</w:t>
      </w:r>
    </w:p>
    <w:p w:rsidR="00B84BE3" w:rsidRPr="004073D6" w:rsidRDefault="00B84BE3" w:rsidP="00B84BE3">
      <w:pPr>
        <w:keepNext/>
        <w:spacing w:before="360" w:after="160" w:line="360" w:lineRule="exact"/>
        <w:outlineLvl w:val="1"/>
        <w:rPr>
          <w:rFonts w:eastAsia="Times"/>
        </w:rPr>
      </w:pPr>
      <w:r w:rsidRPr="004073D6">
        <w:rPr>
          <w:rFonts w:eastAsia="Times"/>
        </w:rPr>
        <w:t>The table below summarises the establishment costs and sources of funding for the group training organisation. Please complete for the first year of operation.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60"/>
        <w:gridCol w:w="3070"/>
        <w:gridCol w:w="3071"/>
        <w:gridCol w:w="2879"/>
      </w:tblGrid>
      <w:tr w:rsidR="00B84BE3" w:rsidRPr="004073D6" w:rsidTr="00A72579">
        <w:trPr>
          <w:trHeight w:val="280"/>
        </w:trPr>
        <w:tc>
          <w:tcPr>
            <w:tcW w:w="3708" w:type="dxa"/>
            <w:vMerge w:val="restart"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ITEM</w:t>
            </w:r>
          </w:p>
        </w:tc>
        <w:tc>
          <w:tcPr>
            <w:tcW w:w="2860" w:type="dxa"/>
            <w:vMerge w:val="restart"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ALREADY OWN OR PAID ($)</w:t>
            </w:r>
          </w:p>
        </w:tc>
        <w:tc>
          <w:tcPr>
            <w:tcW w:w="6141" w:type="dxa"/>
            <w:gridSpan w:val="2"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SOURCES OF FUNDS</w:t>
            </w:r>
          </w:p>
        </w:tc>
        <w:tc>
          <w:tcPr>
            <w:tcW w:w="2879" w:type="dxa"/>
            <w:vMerge w:val="restart"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TOTAL ($)</w:t>
            </w:r>
          </w:p>
        </w:tc>
      </w:tr>
      <w:tr w:rsidR="00B84BE3" w:rsidRPr="004073D6" w:rsidTr="00A72579">
        <w:trPr>
          <w:trHeight w:val="280"/>
        </w:trPr>
        <w:tc>
          <w:tcPr>
            <w:tcW w:w="3708" w:type="dxa"/>
            <w:vMerge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60" w:type="dxa"/>
            <w:vMerge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070" w:type="dxa"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OWN FUNDS</w:t>
            </w:r>
          </w:p>
        </w:tc>
        <w:tc>
          <w:tcPr>
            <w:tcW w:w="3071" w:type="dxa"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OTHER FUNDS</w:t>
            </w:r>
          </w:p>
        </w:tc>
        <w:tc>
          <w:tcPr>
            <w:tcW w:w="2879" w:type="dxa"/>
            <w:vMerge/>
            <w:shd w:val="clear" w:color="auto" w:fill="CCCCCC"/>
          </w:tcPr>
          <w:p w:rsidR="00B84BE3" w:rsidRPr="00322FF0" w:rsidRDefault="00B84BE3" w:rsidP="00A72579">
            <w:pPr>
              <w:jc w:val="center"/>
              <w:rPr>
                <w:rFonts w:cs="Arial"/>
                <w:b/>
              </w:rPr>
            </w:pPr>
          </w:p>
        </w:tc>
      </w:tr>
      <w:tr w:rsidR="00B84BE3" w:rsidRPr="004073D6" w:rsidTr="00A72579">
        <w:tc>
          <w:tcPr>
            <w:tcW w:w="15588" w:type="dxa"/>
            <w:gridSpan w:val="5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  <w:b/>
              </w:rPr>
              <w:t>Essential establishment costs</w:t>
            </w: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Accountant fees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Solicitor fees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Advance rent and/or deposit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Initial insurance premiums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Advertising and promotion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8C4672">
        <w:trPr>
          <w:trHeight w:val="1191"/>
        </w:trPr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Electricity and or gas</w:t>
            </w:r>
          </w:p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- connection</w:t>
            </w:r>
          </w:p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- deposit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Telephone installation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Printing and/or stationery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lastRenderedPageBreak/>
              <w:t>Registration and/or licences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Initial workers compensation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Equipment purchases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Plant and equipment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Vehicles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Fittings and renovations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Other assets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Working capital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  <w:r w:rsidRPr="00322FF0">
              <w:rPr>
                <w:rFonts w:cs="Arial"/>
              </w:rPr>
              <w:t>Working capital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Total establishment costs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  <w:tr w:rsidR="00B84BE3" w:rsidRPr="004073D6" w:rsidTr="00A72579">
        <w:tc>
          <w:tcPr>
            <w:tcW w:w="3708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  <w:b/>
              </w:rPr>
            </w:pPr>
            <w:r w:rsidRPr="00322FF0">
              <w:rPr>
                <w:rFonts w:cs="Arial"/>
                <w:b/>
              </w:rPr>
              <w:t>TOTAL</w:t>
            </w:r>
          </w:p>
        </w:tc>
        <w:tc>
          <w:tcPr>
            <w:tcW w:w="286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0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  <w:tc>
          <w:tcPr>
            <w:tcW w:w="2879" w:type="dxa"/>
            <w:shd w:val="clear" w:color="auto" w:fill="auto"/>
          </w:tcPr>
          <w:p w:rsidR="00B84BE3" w:rsidRPr="00322FF0" w:rsidRDefault="00B84BE3" w:rsidP="00A72579">
            <w:pPr>
              <w:rPr>
                <w:rFonts w:cs="Arial"/>
              </w:rPr>
            </w:pPr>
          </w:p>
        </w:tc>
      </w:tr>
    </w:tbl>
    <w:p w:rsidR="00B84BE3" w:rsidRPr="004073D6" w:rsidRDefault="00B84BE3" w:rsidP="008C4672"/>
    <w:sectPr w:rsidR="00B84BE3" w:rsidRPr="004073D6" w:rsidSect="009A3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83" w:rsidRDefault="00D00483" w:rsidP="00190C24">
      <w:r>
        <w:separator/>
      </w:r>
    </w:p>
  </w:endnote>
  <w:endnote w:type="continuationSeparator" w:id="0">
    <w:p w:rsidR="00D00483" w:rsidRDefault="00D0048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24" w:rsidRDefault="00FB0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44" w:rsidRDefault="0075364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BDF8591" wp14:editId="5913E07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9720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24" w:rsidRDefault="00FB0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83" w:rsidRDefault="00D00483" w:rsidP="00190C24">
      <w:r>
        <w:separator/>
      </w:r>
    </w:p>
  </w:footnote>
  <w:footnote w:type="continuationSeparator" w:id="0">
    <w:p w:rsidR="00D00483" w:rsidRDefault="00D0048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24" w:rsidRDefault="00FB0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3A5584E" wp14:editId="193972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1495" cy="50355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2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24" w:rsidRDefault="00FB0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83"/>
    <w:rsid w:val="000436FC"/>
    <w:rsid w:val="00075D6C"/>
    <w:rsid w:val="000A7230"/>
    <w:rsid w:val="000B61AC"/>
    <w:rsid w:val="000F5EE3"/>
    <w:rsid w:val="000F7FDE"/>
    <w:rsid w:val="00163437"/>
    <w:rsid w:val="0017085C"/>
    <w:rsid w:val="00190C24"/>
    <w:rsid w:val="001E78CA"/>
    <w:rsid w:val="002371F7"/>
    <w:rsid w:val="00253C8D"/>
    <w:rsid w:val="0027666D"/>
    <w:rsid w:val="0029515B"/>
    <w:rsid w:val="002F78A2"/>
    <w:rsid w:val="00333459"/>
    <w:rsid w:val="00364D1A"/>
    <w:rsid w:val="003652D6"/>
    <w:rsid w:val="003F04CD"/>
    <w:rsid w:val="00404BCA"/>
    <w:rsid w:val="00444F85"/>
    <w:rsid w:val="004912DC"/>
    <w:rsid w:val="004E2CF2"/>
    <w:rsid w:val="00590218"/>
    <w:rsid w:val="005979F1"/>
    <w:rsid w:val="005F4331"/>
    <w:rsid w:val="006239A5"/>
    <w:rsid w:val="00634114"/>
    <w:rsid w:val="00636AB7"/>
    <w:rsid w:val="00636B71"/>
    <w:rsid w:val="00653CFD"/>
    <w:rsid w:val="006C3D8E"/>
    <w:rsid w:val="00717791"/>
    <w:rsid w:val="00753644"/>
    <w:rsid w:val="00775795"/>
    <w:rsid w:val="00781EFA"/>
    <w:rsid w:val="007D1162"/>
    <w:rsid w:val="00853B7B"/>
    <w:rsid w:val="008C4672"/>
    <w:rsid w:val="008E6F9C"/>
    <w:rsid w:val="00907963"/>
    <w:rsid w:val="00940C2F"/>
    <w:rsid w:val="0096595E"/>
    <w:rsid w:val="009A34E0"/>
    <w:rsid w:val="009E5EE5"/>
    <w:rsid w:val="00A47F67"/>
    <w:rsid w:val="00A65710"/>
    <w:rsid w:val="00A778A7"/>
    <w:rsid w:val="00A87C08"/>
    <w:rsid w:val="00AB0A25"/>
    <w:rsid w:val="00AD56BC"/>
    <w:rsid w:val="00B33337"/>
    <w:rsid w:val="00B84BE3"/>
    <w:rsid w:val="00B8699D"/>
    <w:rsid w:val="00BD7523"/>
    <w:rsid w:val="00C36EDF"/>
    <w:rsid w:val="00CB07AD"/>
    <w:rsid w:val="00CD793C"/>
    <w:rsid w:val="00CF107F"/>
    <w:rsid w:val="00D00483"/>
    <w:rsid w:val="00D01CD2"/>
    <w:rsid w:val="00D75050"/>
    <w:rsid w:val="00D842DF"/>
    <w:rsid w:val="00DC5E03"/>
    <w:rsid w:val="00E22573"/>
    <w:rsid w:val="00E26F9B"/>
    <w:rsid w:val="00E51347"/>
    <w:rsid w:val="00EC215D"/>
    <w:rsid w:val="00EF474F"/>
    <w:rsid w:val="00EF4AC5"/>
    <w:rsid w:val="00F40B93"/>
    <w:rsid w:val="00F447A2"/>
    <w:rsid w:val="00F56ADB"/>
    <w:rsid w:val="00F75FD5"/>
    <w:rsid w:val="00FA266D"/>
    <w:rsid w:val="00FB0924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BlockText">
    <w:name w:val="Block Text"/>
    <w:basedOn w:val="Normal"/>
    <w:rsid w:val="00B84BE3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03D275-B40F-4DB5-8DD5-4C6A14D5F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FE354-17E4-4D93-81E7-A65AF6E811AC}"/>
</file>

<file path=customXml/itemProps3.xml><?xml version="1.0" encoding="utf-8"?>
<ds:datastoreItem xmlns:ds="http://schemas.openxmlformats.org/officeDocument/2006/customXml" ds:itemID="{13EBE71B-66B5-4747-B442-1383AE7709A3}"/>
</file>

<file path=customXml/itemProps4.xml><?xml version="1.0" encoding="utf-8"?>
<ds:datastoreItem xmlns:ds="http://schemas.openxmlformats.org/officeDocument/2006/customXml" ds:itemID="{44B0AEF2-2B11-45E0-865D-E43FE1126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costs and sources</dc:title>
  <dc:subject/>
  <dc:creator/>
  <cp:keywords/>
  <dc:description/>
  <cp:lastModifiedBy/>
  <cp:revision>1</cp:revision>
  <dcterms:created xsi:type="dcterms:W3CDTF">2018-12-20T04:05:00Z</dcterms:created>
  <dcterms:modified xsi:type="dcterms:W3CDTF">2018-12-20T04:05:00Z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