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A512B" w14:textId="549C7084" w:rsidR="54883CC4" w:rsidRDefault="54883CC4"/>
    <w:p w14:paraId="15D8D918" w14:textId="77777777" w:rsidR="00314F79" w:rsidRDefault="00314F79"/>
    <w:p w14:paraId="05F53C58" w14:textId="77777777" w:rsidR="00314F79" w:rsidRPr="00314F79" w:rsidRDefault="00314F79">
      <w:pPr>
        <w:rPr>
          <w:sz w:val="72"/>
          <w:szCs w:val="72"/>
        </w:rPr>
      </w:pPr>
    </w:p>
    <w:p w14:paraId="434301E4" w14:textId="7E7C32A2" w:rsidR="00314F79" w:rsidRPr="00C451C8" w:rsidRDefault="00314F79" w:rsidP="00314F79">
      <w:pPr>
        <w:pStyle w:val="Heading1"/>
        <w:rPr>
          <w:rFonts w:ascii="Aptos" w:hAnsi="Aptos"/>
          <w:color w:val="5B9BD5" w:themeColor="accent5"/>
          <w:sz w:val="72"/>
          <w:szCs w:val="72"/>
          <w:lang w:val="en-US"/>
        </w:rPr>
      </w:pPr>
      <w:bookmarkStart w:id="0" w:name="_Toc207710339"/>
      <w:bookmarkStart w:id="1" w:name="_Toc72142579"/>
      <w:bookmarkStart w:id="2" w:name="_Toc2148595"/>
      <w:bookmarkStart w:id="3" w:name="_Toc4583312"/>
      <w:r w:rsidRPr="00C451C8">
        <w:rPr>
          <w:rFonts w:ascii="Aptos" w:hAnsi="Aptos"/>
          <w:color w:val="5B9BD5" w:themeColor="accent5"/>
          <w:sz w:val="72"/>
          <w:szCs w:val="72"/>
          <w:lang w:val="en-US"/>
        </w:rPr>
        <w:t>Skills Disability Support</w:t>
      </w:r>
      <w:bookmarkEnd w:id="0"/>
    </w:p>
    <w:p w14:paraId="44D7F828" w14:textId="4581F49D" w:rsidR="00314F79" w:rsidRPr="00C451C8" w:rsidRDefault="00314F79" w:rsidP="00314F79">
      <w:pPr>
        <w:rPr>
          <w:rFonts w:ascii="Aptos" w:hAnsi="Aptos"/>
          <w:sz w:val="72"/>
          <w:szCs w:val="72"/>
          <w:lang w:val="en-US"/>
        </w:rPr>
      </w:pPr>
    </w:p>
    <w:p w14:paraId="6E0B5475" w14:textId="6662763E" w:rsidR="00314F79" w:rsidRPr="00C451C8" w:rsidRDefault="00EA0BC2" w:rsidP="00314F79">
      <w:pPr>
        <w:rPr>
          <w:rFonts w:ascii="Aptos" w:hAnsi="Aptos"/>
          <w:color w:val="808080" w:themeColor="background1" w:themeShade="80"/>
          <w:sz w:val="72"/>
          <w:szCs w:val="72"/>
          <w:lang w:val="en-US"/>
        </w:rPr>
      </w:pPr>
      <w:r w:rsidRPr="00C451C8">
        <w:rPr>
          <w:rFonts w:ascii="Aptos" w:hAnsi="Aptos"/>
          <w:color w:val="808080" w:themeColor="background1" w:themeShade="80"/>
          <w:sz w:val="72"/>
          <w:szCs w:val="72"/>
          <w:lang w:val="en-US"/>
        </w:rPr>
        <w:t>Instructions on how to apply for and manage support</w:t>
      </w:r>
    </w:p>
    <w:p w14:paraId="4A3ACC99" w14:textId="77777777" w:rsidR="00314F79" w:rsidRPr="00C451C8" w:rsidRDefault="00314F79" w:rsidP="00314F79">
      <w:pPr>
        <w:rPr>
          <w:rFonts w:ascii="Aptos" w:hAnsi="Aptos"/>
          <w:lang w:val="en-US"/>
        </w:rPr>
      </w:pPr>
    </w:p>
    <w:p w14:paraId="062777ED" w14:textId="77777777" w:rsidR="00314F79" w:rsidRPr="00C451C8" w:rsidRDefault="00314F79" w:rsidP="00314F79">
      <w:pPr>
        <w:rPr>
          <w:rFonts w:ascii="Aptos" w:hAnsi="Aptos"/>
          <w:lang w:val="en-US"/>
        </w:rPr>
      </w:pPr>
    </w:p>
    <w:p w14:paraId="33A9C0B3" w14:textId="77777777" w:rsidR="00314F79" w:rsidRPr="00C451C8" w:rsidRDefault="00314F79" w:rsidP="00314F79">
      <w:pPr>
        <w:rPr>
          <w:rFonts w:ascii="Aptos" w:hAnsi="Aptos"/>
          <w:lang w:val="en-US"/>
        </w:rPr>
      </w:pPr>
    </w:p>
    <w:p w14:paraId="348A2FCB" w14:textId="77777777" w:rsidR="00314F79" w:rsidRPr="00C451C8" w:rsidRDefault="00314F79" w:rsidP="00314F79">
      <w:pPr>
        <w:rPr>
          <w:rFonts w:ascii="Aptos" w:hAnsi="Aptos"/>
          <w:lang w:val="en-US"/>
        </w:rPr>
      </w:pPr>
    </w:p>
    <w:p w14:paraId="3B1E7D65" w14:textId="77777777" w:rsidR="00314F79" w:rsidRPr="00C451C8" w:rsidRDefault="00314F79" w:rsidP="00314F79">
      <w:pPr>
        <w:rPr>
          <w:rFonts w:ascii="Aptos" w:hAnsi="Aptos"/>
          <w:lang w:val="en-US"/>
        </w:rPr>
      </w:pPr>
    </w:p>
    <w:p w14:paraId="1BDA2627" w14:textId="77777777" w:rsidR="00314F79" w:rsidRPr="00C451C8" w:rsidRDefault="00314F79" w:rsidP="00314F79">
      <w:pPr>
        <w:rPr>
          <w:rFonts w:ascii="Aptos" w:hAnsi="Aptos"/>
          <w:lang w:val="en-US"/>
        </w:rPr>
      </w:pPr>
    </w:p>
    <w:p w14:paraId="78671E75" w14:textId="77777777" w:rsidR="00314F79" w:rsidRPr="00C451C8" w:rsidRDefault="00314F79" w:rsidP="00314F79">
      <w:pPr>
        <w:rPr>
          <w:rFonts w:ascii="Aptos" w:hAnsi="Aptos"/>
          <w:lang w:val="en-US"/>
        </w:rPr>
      </w:pPr>
    </w:p>
    <w:p w14:paraId="395D8A7C" w14:textId="77777777" w:rsidR="00314F79" w:rsidRPr="00C451C8" w:rsidRDefault="00314F79" w:rsidP="00314F79">
      <w:pPr>
        <w:rPr>
          <w:rFonts w:ascii="Aptos" w:hAnsi="Aptos"/>
          <w:lang w:val="en-US"/>
        </w:rPr>
      </w:pPr>
    </w:p>
    <w:p w14:paraId="7F6D5B4D" w14:textId="77777777" w:rsidR="00314F79" w:rsidRPr="00C451C8" w:rsidRDefault="00314F79" w:rsidP="00314F79">
      <w:pPr>
        <w:rPr>
          <w:rFonts w:ascii="Aptos" w:hAnsi="Aptos"/>
          <w:lang w:val="en-US"/>
        </w:rPr>
      </w:pPr>
    </w:p>
    <w:p w14:paraId="58AF1F75" w14:textId="77777777" w:rsidR="00314F79" w:rsidRPr="00C451C8" w:rsidRDefault="00314F79" w:rsidP="00314F79">
      <w:pPr>
        <w:rPr>
          <w:rFonts w:ascii="Aptos" w:hAnsi="Aptos"/>
          <w:lang w:val="en-US"/>
        </w:rPr>
      </w:pPr>
    </w:p>
    <w:p w14:paraId="14663591" w14:textId="77777777" w:rsidR="00314F79" w:rsidRPr="00C451C8" w:rsidRDefault="00314F79" w:rsidP="00314F79">
      <w:pPr>
        <w:rPr>
          <w:rFonts w:ascii="Aptos" w:hAnsi="Aptos"/>
          <w:lang w:val="en-US"/>
        </w:rPr>
      </w:pPr>
    </w:p>
    <w:p w14:paraId="2E0A0C2E" w14:textId="77777777" w:rsidR="00314F79" w:rsidRPr="00C451C8" w:rsidRDefault="00314F79" w:rsidP="00314F79">
      <w:pPr>
        <w:rPr>
          <w:rFonts w:ascii="Aptos" w:hAnsi="Aptos"/>
          <w:lang w:val="en-US"/>
        </w:rPr>
      </w:pPr>
    </w:p>
    <w:p w14:paraId="001141F8" w14:textId="77777777" w:rsidR="00314F79" w:rsidRPr="00C451C8" w:rsidRDefault="00314F79" w:rsidP="00314F79">
      <w:pPr>
        <w:rPr>
          <w:rFonts w:ascii="Aptos" w:hAnsi="Aptos"/>
          <w:lang w:val="en-US"/>
        </w:rPr>
      </w:pPr>
    </w:p>
    <w:p w14:paraId="34F615BF" w14:textId="77777777" w:rsidR="00314F79" w:rsidRPr="00C451C8" w:rsidRDefault="00314F79" w:rsidP="00314F79">
      <w:pPr>
        <w:rPr>
          <w:rFonts w:ascii="Aptos" w:hAnsi="Aptos"/>
          <w:lang w:val="en-US"/>
        </w:rPr>
      </w:pPr>
    </w:p>
    <w:p w14:paraId="5ACA592E" w14:textId="77777777" w:rsidR="00314F79" w:rsidRPr="00C451C8" w:rsidRDefault="00314F79" w:rsidP="00314F79">
      <w:pPr>
        <w:rPr>
          <w:rFonts w:ascii="Aptos" w:hAnsi="Aptos"/>
          <w:lang w:val="en-US"/>
        </w:rPr>
      </w:pPr>
    </w:p>
    <w:p w14:paraId="6311DB64" w14:textId="77777777" w:rsidR="00314F79" w:rsidRPr="00C451C8" w:rsidRDefault="00314F79" w:rsidP="00314F79">
      <w:pPr>
        <w:rPr>
          <w:rFonts w:ascii="Aptos" w:hAnsi="Aptos"/>
          <w:lang w:val="en-US"/>
        </w:rPr>
      </w:pPr>
    </w:p>
    <w:p w14:paraId="6DE8CB51" w14:textId="77777777" w:rsidR="00314F79" w:rsidRPr="00C451C8" w:rsidRDefault="00314F79" w:rsidP="00314F79">
      <w:pPr>
        <w:rPr>
          <w:rFonts w:ascii="Aptos" w:hAnsi="Aptos"/>
          <w:lang w:val="en-US"/>
        </w:rPr>
      </w:pPr>
    </w:p>
    <w:bookmarkEnd w:id="1"/>
    <w:bookmarkEnd w:id="2"/>
    <w:bookmarkEnd w:id="3"/>
    <w:p w14:paraId="5359B064" w14:textId="77777777" w:rsidR="007737B5" w:rsidRPr="00C451C8" w:rsidRDefault="007737B5" w:rsidP="007737B5">
      <w:pPr>
        <w:pStyle w:val="Heading1"/>
        <w:rPr>
          <w:rFonts w:ascii="Aptos" w:hAnsi="Aptos"/>
          <w:b w:val="0"/>
          <w:bCs/>
          <w:color w:val="5B9BD5" w:themeColor="accent5"/>
          <w:sz w:val="48"/>
          <w:szCs w:val="48"/>
          <w:lang w:val="en-US"/>
        </w:rPr>
      </w:pPr>
      <w:r w:rsidRPr="00C451C8">
        <w:rPr>
          <w:rFonts w:ascii="Aptos" w:hAnsi="Aptos"/>
          <w:bCs/>
          <w:color w:val="5B9BD5" w:themeColor="accent5"/>
          <w:sz w:val="48"/>
          <w:szCs w:val="48"/>
          <w:lang w:val="en-US"/>
        </w:rPr>
        <w:lastRenderedPageBreak/>
        <w:t xml:space="preserve">   </w:t>
      </w:r>
    </w:p>
    <w:bookmarkStart w:id="4" w:name="_Toc71706872" w:displacedByCustomXml="next"/>
    <w:bookmarkStart w:id="5" w:name="_Toc2169273" w:displacedByCustomXml="next"/>
    <w:bookmarkStart w:id="6" w:name="_Toc4582214" w:displacedByCustomXml="next"/>
    <w:bookmarkStart w:id="7" w:name="_Toc5197005" w:displacedByCustomXml="next"/>
    <w:bookmarkStart w:id="8" w:name="_Toc76992100" w:displacedByCustomXml="next"/>
    <w:bookmarkStart w:id="9" w:name="_Toc207710340" w:displacedByCustomXml="next"/>
    <w:sdt>
      <w:sdtPr>
        <w:rPr>
          <w:rFonts w:ascii="Aptos" w:eastAsia="MS Mincho" w:hAnsi="Aptos" w:cs="Times New Roman"/>
          <w:b w:val="0"/>
          <w:bCs/>
          <w:color w:val="auto"/>
          <w:sz w:val="24"/>
          <w:szCs w:val="20"/>
        </w:rPr>
        <w:id w:val="-1092621946"/>
        <w:docPartObj>
          <w:docPartGallery w:val="Table of Contents"/>
          <w:docPartUnique/>
        </w:docPartObj>
      </w:sdtPr>
      <w:sdtEndPr>
        <w:rPr>
          <w:rFonts w:eastAsiaTheme="minorHAnsi" w:cstheme="minorBidi"/>
          <w:bCs w:val="0"/>
          <w:noProof/>
          <w:sz w:val="22"/>
          <w:szCs w:val="22"/>
        </w:rPr>
      </w:sdtEndPr>
      <w:sdtContent>
        <w:p w14:paraId="32D0C711" w14:textId="77777777" w:rsidR="007737B5" w:rsidRPr="00C451C8" w:rsidRDefault="007737B5" w:rsidP="007737B5">
          <w:pPr>
            <w:pStyle w:val="Heading1"/>
            <w:rPr>
              <w:rFonts w:ascii="Aptos" w:hAnsi="Aptos"/>
            </w:rPr>
          </w:pPr>
          <w:r w:rsidRPr="00C451C8">
            <w:rPr>
              <w:rFonts w:ascii="Aptos" w:hAnsi="Aptos"/>
            </w:rPr>
            <w:t>Contents</w:t>
          </w:r>
          <w:bookmarkEnd w:id="9"/>
          <w:bookmarkEnd w:id="8"/>
          <w:bookmarkEnd w:id="7"/>
          <w:bookmarkEnd w:id="6"/>
          <w:bookmarkEnd w:id="5"/>
          <w:bookmarkEnd w:id="4"/>
        </w:p>
        <w:p w14:paraId="1E53FFE6" w14:textId="26DEB575" w:rsidR="00EA0BC2" w:rsidRPr="00C451C8" w:rsidRDefault="007737B5" w:rsidP="00C451C8">
          <w:pPr>
            <w:pStyle w:val="TOC1"/>
            <w:tabs>
              <w:tab w:val="right" w:leader="dot" w:pos="9016"/>
            </w:tabs>
            <w:rPr>
              <w:rFonts w:ascii="Aptos" w:eastAsiaTheme="minorEastAsia" w:hAnsi="Aptos"/>
              <w:noProof/>
              <w:kern w:val="2"/>
              <w:sz w:val="24"/>
              <w:lang w:eastAsia="en-AU"/>
              <w14:ligatures w14:val="standardContextual"/>
            </w:rPr>
          </w:pPr>
          <w:r w:rsidRPr="00C451C8">
            <w:rPr>
              <w:rFonts w:ascii="Aptos" w:hAnsi="Aptos"/>
              <w:sz w:val="24"/>
              <w:szCs w:val="22"/>
            </w:rPr>
            <w:fldChar w:fldCharType="begin"/>
          </w:r>
          <w:r w:rsidRPr="00C451C8">
            <w:rPr>
              <w:rFonts w:ascii="Aptos" w:hAnsi="Aptos"/>
              <w:szCs w:val="22"/>
            </w:rPr>
            <w:instrText xml:space="preserve"> TOC \o "1-3" \h \z \u </w:instrText>
          </w:r>
          <w:r w:rsidRPr="00C451C8">
            <w:rPr>
              <w:rFonts w:ascii="Aptos" w:hAnsi="Aptos"/>
              <w:sz w:val="24"/>
              <w:szCs w:val="22"/>
            </w:rPr>
            <w:fldChar w:fldCharType="separate"/>
          </w:r>
        </w:p>
        <w:p w14:paraId="178CD646" w14:textId="118DB714" w:rsidR="00EA0BC2" w:rsidRPr="00C451C8" w:rsidRDefault="00EA0BC2">
          <w:pPr>
            <w:pStyle w:val="TOC1"/>
            <w:tabs>
              <w:tab w:val="right" w:leader="dot" w:pos="9016"/>
            </w:tabs>
            <w:rPr>
              <w:rFonts w:ascii="Aptos" w:eastAsiaTheme="minorEastAsia" w:hAnsi="Aptos"/>
              <w:noProof/>
              <w:kern w:val="2"/>
              <w:sz w:val="24"/>
              <w:lang w:eastAsia="en-AU"/>
              <w14:ligatures w14:val="standardContextual"/>
            </w:rPr>
          </w:pPr>
          <w:hyperlink w:anchor="_Toc207710341" w:history="1">
            <w:r w:rsidRPr="00C451C8">
              <w:rPr>
                <w:rStyle w:val="Hyperlink"/>
                <w:rFonts w:ascii="Aptos" w:hAnsi="Aptos"/>
                <w:noProof/>
              </w:rPr>
              <w:t>Introduction: the application process</w:t>
            </w:r>
            <w:r w:rsidRPr="00C451C8">
              <w:rPr>
                <w:rFonts w:ascii="Aptos" w:hAnsi="Aptos"/>
                <w:noProof/>
                <w:webHidden/>
              </w:rPr>
              <w:tab/>
            </w:r>
            <w:r w:rsidRPr="00C451C8">
              <w:rPr>
                <w:rFonts w:ascii="Aptos" w:hAnsi="Aptos"/>
                <w:noProof/>
                <w:webHidden/>
              </w:rPr>
              <w:fldChar w:fldCharType="begin"/>
            </w:r>
            <w:r w:rsidRPr="00C451C8">
              <w:rPr>
                <w:rFonts w:ascii="Aptos" w:hAnsi="Aptos"/>
                <w:noProof/>
                <w:webHidden/>
              </w:rPr>
              <w:instrText xml:space="preserve"> PAGEREF _Toc207710341 \h </w:instrText>
            </w:r>
            <w:r w:rsidRPr="00C451C8">
              <w:rPr>
                <w:rFonts w:ascii="Aptos" w:hAnsi="Aptos"/>
                <w:noProof/>
                <w:webHidden/>
              </w:rPr>
            </w:r>
            <w:r w:rsidRPr="00C451C8">
              <w:rPr>
                <w:rFonts w:ascii="Aptos" w:hAnsi="Aptos"/>
                <w:noProof/>
                <w:webHidden/>
              </w:rPr>
              <w:fldChar w:fldCharType="separate"/>
            </w:r>
            <w:r w:rsidR="009D06B0">
              <w:rPr>
                <w:rFonts w:ascii="Aptos" w:hAnsi="Aptos"/>
                <w:noProof/>
                <w:webHidden/>
              </w:rPr>
              <w:t>3</w:t>
            </w:r>
            <w:r w:rsidRPr="00C451C8">
              <w:rPr>
                <w:rFonts w:ascii="Aptos" w:hAnsi="Aptos"/>
                <w:noProof/>
                <w:webHidden/>
              </w:rPr>
              <w:fldChar w:fldCharType="end"/>
            </w:r>
          </w:hyperlink>
        </w:p>
        <w:p w14:paraId="11050C5B" w14:textId="3CFDCDE2" w:rsidR="00EA0BC2" w:rsidRPr="00C451C8" w:rsidRDefault="00EA0BC2">
          <w:pPr>
            <w:pStyle w:val="TOC1"/>
            <w:tabs>
              <w:tab w:val="left" w:pos="440"/>
              <w:tab w:val="right" w:leader="dot" w:pos="9016"/>
            </w:tabs>
            <w:rPr>
              <w:rFonts w:ascii="Aptos" w:eastAsiaTheme="minorEastAsia" w:hAnsi="Aptos"/>
              <w:noProof/>
              <w:kern w:val="2"/>
              <w:sz w:val="24"/>
              <w:lang w:eastAsia="en-AU"/>
              <w14:ligatures w14:val="standardContextual"/>
            </w:rPr>
          </w:pPr>
          <w:hyperlink w:anchor="_Toc207710342" w:history="1">
            <w:r w:rsidRPr="00C451C8">
              <w:rPr>
                <w:rStyle w:val="Hyperlink"/>
                <w:rFonts w:ascii="Aptos" w:hAnsi="Aptos"/>
                <w:noProof/>
              </w:rPr>
              <w:t>1</w:t>
            </w:r>
            <w:r w:rsidRPr="00C451C8">
              <w:rPr>
                <w:rFonts w:ascii="Aptos" w:eastAsiaTheme="minorEastAsia" w:hAnsi="Aptos"/>
                <w:noProof/>
                <w:kern w:val="2"/>
                <w:sz w:val="24"/>
                <w:lang w:eastAsia="en-AU"/>
                <w14:ligatures w14:val="standardContextual"/>
              </w:rPr>
              <w:tab/>
            </w:r>
            <w:r w:rsidRPr="00C451C8">
              <w:rPr>
                <w:rStyle w:val="Hyperlink"/>
                <w:rFonts w:ascii="Aptos" w:hAnsi="Aptos"/>
                <w:noProof/>
              </w:rPr>
              <w:t>Submit application</w:t>
            </w:r>
            <w:r w:rsidRPr="00C451C8">
              <w:rPr>
                <w:rFonts w:ascii="Aptos" w:hAnsi="Aptos"/>
                <w:noProof/>
                <w:webHidden/>
              </w:rPr>
              <w:tab/>
            </w:r>
            <w:r w:rsidRPr="00C451C8">
              <w:rPr>
                <w:rFonts w:ascii="Aptos" w:hAnsi="Aptos"/>
                <w:noProof/>
                <w:webHidden/>
              </w:rPr>
              <w:fldChar w:fldCharType="begin"/>
            </w:r>
            <w:r w:rsidRPr="00C451C8">
              <w:rPr>
                <w:rFonts w:ascii="Aptos" w:hAnsi="Aptos"/>
                <w:noProof/>
                <w:webHidden/>
              </w:rPr>
              <w:instrText xml:space="preserve"> PAGEREF _Toc207710342 \h </w:instrText>
            </w:r>
            <w:r w:rsidRPr="00C451C8">
              <w:rPr>
                <w:rFonts w:ascii="Aptos" w:hAnsi="Aptos"/>
                <w:noProof/>
                <w:webHidden/>
              </w:rPr>
            </w:r>
            <w:r w:rsidRPr="00C451C8">
              <w:rPr>
                <w:rFonts w:ascii="Aptos" w:hAnsi="Aptos"/>
                <w:noProof/>
                <w:webHidden/>
              </w:rPr>
              <w:fldChar w:fldCharType="separate"/>
            </w:r>
            <w:r w:rsidR="009D06B0">
              <w:rPr>
                <w:rFonts w:ascii="Aptos" w:hAnsi="Aptos"/>
                <w:noProof/>
                <w:webHidden/>
              </w:rPr>
              <w:t>4</w:t>
            </w:r>
            <w:r w:rsidRPr="00C451C8">
              <w:rPr>
                <w:rFonts w:ascii="Aptos" w:hAnsi="Aptos"/>
                <w:noProof/>
                <w:webHidden/>
              </w:rPr>
              <w:fldChar w:fldCharType="end"/>
            </w:r>
          </w:hyperlink>
        </w:p>
        <w:p w14:paraId="09B7B922" w14:textId="218AB85F" w:rsidR="00EA0BC2" w:rsidRPr="00C451C8" w:rsidRDefault="00EA0BC2">
          <w:pPr>
            <w:pStyle w:val="TOC2"/>
            <w:tabs>
              <w:tab w:val="left" w:pos="960"/>
              <w:tab w:val="right" w:leader="dot" w:pos="9016"/>
            </w:tabs>
            <w:rPr>
              <w:rFonts w:ascii="Aptos" w:eastAsiaTheme="minorEastAsia" w:hAnsi="Aptos"/>
              <w:noProof/>
              <w:kern w:val="2"/>
              <w:sz w:val="24"/>
              <w:lang w:eastAsia="en-AU"/>
              <w14:ligatures w14:val="standardContextual"/>
            </w:rPr>
          </w:pPr>
          <w:hyperlink w:anchor="_Toc207710343" w:history="1">
            <w:r w:rsidRPr="00C451C8">
              <w:rPr>
                <w:rStyle w:val="Hyperlink"/>
                <w:rFonts w:ascii="Aptos" w:eastAsia="MS Gothic" w:hAnsi="Aptos"/>
                <w:noProof/>
              </w:rPr>
              <w:t>1.1</w:t>
            </w:r>
            <w:r w:rsidRPr="00C451C8">
              <w:rPr>
                <w:rFonts w:ascii="Aptos" w:eastAsiaTheme="minorEastAsia" w:hAnsi="Aptos"/>
                <w:noProof/>
                <w:kern w:val="2"/>
                <w:sz w:val="24"/>
                <w:lang w:eastAsia="en-AU"/>
                <w14:ligatures w14:val="standardContextual"/>
              </w:rPr>
              <w:tab/>
            </w:r>
            <w:r w:rsidRPr="00C451C8">
              <w:rPr>
                <w:rStyle w:val="Hyperlink"/>
                <w:rFonts w:ascii="Aptos" w:hAnsi="Aptos"/>
                <w:noProof/>
              </w:rPr>
              <w:t>New applications</w:t>
            </w:r>
            <w:r w:rsidRPr="00C451C8">
              <w:rPr>
                <w:rFonts w:ascii="Aptos" w:hAnsi="Aptos"/>
                <w:noProof/>
                <w:webHidden/>
              </w:rPr>
              <w:tab/>
            </w:r>
            <w:r w:rsidRPr="00C451C8">
              <w:rPr>
                <w:rFonts w:ascii="Aptos" w:hAnsi="Aptos"/>
                <w:noProof/>
                <w:webHidden/>
              </w:rPr>
              <w:fldChar w:fldCharType="begin"/>
            </w:r>
            <w:r w:rsidRPr="00C451C8">
              <w:rPr>
                <w:rFonts w:ascii="Aptos" w:hAnsi="Aptos"/>
                <w:noProof/>
                <w:webHidden/>
              </w:rPr>
              <w:instrText xml:space="preserve"> PAGEREF _Toc207710343 \h </w:instrText>
            </w:r>
            <w:r w:rsidRPr="00C451C8">
              <w:rPr>
                <w:rFonts w:ascii="Aptos" w:hAnsi="Aptos"/>
                <w:noProof/>
                <w:webHidden/>
              </w:rPr>
            </w:r>
            <w:r w:rsidRPr="00C451C8">
              <w:rPr>
                <w:rFonts w:ascii="Aptos" w:hAnsi="Aptos"/>
                <w:noProof/>
                <w:webHidden/>
              </w:rPr>
              <w:fldChar w:fldCharType="separate"/>
            </w:r>
            <w:r w:rsidR="009D06B0">
              <w:rPr>
                <w:rFonts w:ascii="Aptos" w:hAnsi="Aptos"/>
                <w:noProof/>
                <w:webHidden/>
              </w:rPr>
              <w:t>4</w:t>
            </w:r>
            <w:r w:rsidRPr="00C451C8">
              <w:rPr>
                <w:rFonts w:ascii="Aptos" w:hAnsi="Aptos"/>
                <w:noProof/>
                <w:webHidden/>
              </w:rPr>
              <w:fldChar w:fldCharType="end"/>
            </w:r>
          </w:hyperlink>
        </w:p>
        <w:p w14:paraId="6845F80F" w14:textId="7CECF2EC" w:rsidR="00EA0BC2" w:rsidRPr="00C451C8" w:rsidRDefault="00EA0BC2">
          <w:pPr>
            <w:pStyle w:val="TOC2"/>
            <w:tabs>
              <w:tab w:val="left" w:pos="960"/>
              <w:tab w:val="right" w:leader="dot" w:pos="9016"/>
            </w:tabs>
            <w:rPr>
              <w:rFonts w:ascii="Aptos" w:eastAsiaTheme="minorEastAsia" w:hAnsi="Aptos"/>
              <w:noProof/>
              <w:kern w:val="2"/>
              <w:sz w:val="24"/>
              <w:lang w:eastAsia="en-AU"/>
              <w14:ligatures w14:val="standardContextual"/>
            </w:rPr>
          </w:pPr>
          <w:hyperlink w:anchor="_Toc207710344" w:history="1">
            <w:r w:rsidRPr="00C451C8">
              <w:rPr>
                <w:rStyle w:val="Hyperlink"/>
                <w:rFonts w:ascii="Aptos" w:eastAsia="MS Gothic" w:hAnsi="Aptos"/>
                <w:noProof/>
              </w:rPr>
              <w:t>1.2</w:t>
            </w:r>
            <w:r w:rsidRPr="00C451C8">
              <w:rPr>
                <w:rFonts w:ascii="Aptos" w:eastAsiaTheme="minorEastAsia" w:hAnsi="Aptos"/>
                <w:noProof/>
                <w:kern w:val="2"/>
                <w:sz w:val="24"/>
                <w:lang w:eastAsia="en-AU"/>
                <w14:ligatures w14:val="standardContextual"/>
              </w:rPr>
              <w:tab/>
            </w:r>
            <w:r w:rsidRPr="00C451C8">
              <w:rPr>
                <w:rStyle w:val="Hyperlink"/>
                <w:rFonts w:ascii="Aptos" w:hAnsi="Aptos"/>
                <w:noProof/>
              </w:rPr>
              <w:t>Completing the application form</w:t>
            </w:r>
            <w:r w:rsidRPr="00C451C8">
              <w:rPr>
                <w:rFonts w:ascii="Aptos" w:hAnsi="Aptos"/>
                <w:noProof/>
                <w:webHidden/>
              </w:rPr>
              <w:tab/>
            </w:r>
            <w:r w:rsidRPr="00C451C8">
              <w:rPr>
                <w:rFonts w:ascii="Aptos" w:hAnsi="Aptos"/>
                <w:noProof/>
                <w:webHidden/>
              </w:rPr>
              <w:fldChar w:fldCharType="begin"/>
            </w:r>
            <w:r w:rsidRPr="00C451C8">
              <w:rPr>
                <w:rFonts w:ascii="Aptos" w:hAnsi="Aptos"/>
                <w:noProof/>
                <w:webHidden/>
              </w:rPr>
              <w:instrText xml:space="preserve"> PAGEREF _Toc207710344 \h </w:instrText>
            </w:r>
            <w:r w:rsidRPr="00C451C8">
              <w:rPr>
                <w:rFonts w:ascii="Aptos" w:hAnsi="Aptos"/>
                <w:noProof/>
                <w:webHidden/>
              </w:rPr>
            </w:r>
            <w:r w:rsidRPr="00C451C8">
              <w:rPr>
                <w:rFonts w:ascii="Aptos" w:hAnsi="Aptos"/>
                <w:noProof/>
                <w:webHidden/>
              </w:rPr>
              <w:fldChar w:fldCharType="separate"/>
            </w:r>
            <w:r w:rsidR="009D06B0">
              <w:rPr>
                <w:rFonts w:ascii="Aptos" w:hAnsi="Aptos"/>
                <w:noProof/>
                <w:webHidden/>
              </w:rPr>
              <w:t>4</w:t>
            </w:r>
            <w:r w:rsidRPr="00C451C8">
              <w:rPr>
                <w:rFonts w:ascii="Aptos" w:hAnsi="Aptos"/>
                <w:noProof/>
                <w:webHidden/>
              </w:rPr>
              <w:fldChar w:fldCharType="end"/>
            </w:r>
          </w:hyperlink>
        </w:p>
        <w:p w14:paraId="5F4A45D1" w14:textId="3A506A70" w:rsidR="00EA0BC2" w:rsidRPr="00C451C8" w:rsidRDefault="00EA0BC2">
          <w:pPr>
            <w:pStyle w:val="TOC1"/>
            <w:tabs>
              <w:tab w:val="left" w:pos="440"/>
              <w:tab w:val="right" w:leader="dot" w:pos="9016"/>
            </w:tabs>
            <w:rPr>
              <w:rFonts w:ascii="Aptos" w:eastAsiaTheme="minorEastAsia" w:hAnsi="Aptos"/>
              <w:noProof/>
              <w:kern w:val="2"/>
              <w:sz w:val="24"/>
              <w:lang w:eastAsia="en-AU"/>
              <w14:ligatures w14:val="standardContextual"/>
            </w:rPr>
          </w:pPr>
          <w:hyperlink w:anchor="_Toc207710345" w:history="1">
            <w:r w:rsidRPr="00C451C8">
              <w:rPr>
                <w:rStyle w:val="Hyperlink"/>
                <w:rFonts w:ascii="Aptos" w:eastAsia="MS Gothic" w:hAnsi="Aptos"/>
                <w:noProof/>
              </w:rPr>
              <w:t>2</w:t>
            </w:r>
            <w:r w:rsidRPr="00C451C8">
              <w:rPr>
                <w:rFonts w:ascii="Aptos" w:eastAsiaTheme="minorEastAsia" w:hAnsi="Aptos"/>
                <w:noProof/>
                <w:kern w:val="2"/>
                <w:sz w:val="24"/>
                <w:lang w:eastAsia="en-AU"/>
                <w14:ligatures w14:val="standardContextual"/>
              </w:rPr>
              <w:tab/>
            </w:r>
            <w:r w:rsidRPr="00C451C8">
              <w:rPr>
                <w:rStyle w:val="Hyperlink"/>
                <w:rFonts w:ascii="Aptos" w:hAnsi="Aptos"/>
                <w:noProof/>
              </w:rPr>
              <w:t>Implement approved services</w:t>
            </w:r>
            <w:r w:rsidRPr="00C451C8">
              <w:rPr>
                <w:rFonts w:ascii="Aptos" w:hAnsi="Aptos"/>
                <w:noProof/>
                <w:webHidden/>
              </w:rPr>
              <w:tab/>
            </w:r>
            <w:r w:rsidRPr="00C451C8">
              <w:rPr>
                <w:rFonts w:ascii="Aptos" w:hAnsi="Aptos"/>
                <w:noProof/>
                <w:webHidden/>
              </w:rPr>
              <w:fldChar w:fldCharType="begin"/>
            </w:r>
            <w:r w:rsidRPr="00C451C8">
              <w:rPr>
                <w:rFonts w:ascii="Aptos" w:hAnsi="Aptos"/>
                <w:noProof/>
                <w:webHidden/>
              </w:rPr>
              <w:instrText xml:space="preserve"> PAGEREF _Toc207710345 \h </w:instrText>
            </w:r>
            <w:r w:rsidRPr="00C451C8">
              <w:rPr>
                <w:rFonts w:ascii="Aptos" w:hAnsi="Aptos"/>
                <w:noProof/>
                <w:webHidden/>
              </w:rPr>
            </w:r>
            <w:r w:rsidRPr="00C451C8">
              <w:rPr>
                <w:rFonts w:ascii="Aptos" w:hAnsi="Aptos"/>
                <w:noProof/>
                <w:webHidden/>
              </w:rPr>
              <w:fldChar w:fldCharType="separate"/>
            </w:r>
            <w:r w:rsidR="009D06B0">
              <w:rPr>
                <w:rFonts w:ascii="Aptos" w:hAnsi="Aptos"/>
                <w:noProof/>
                <w:webHidden/>
              </w:rPr>
              <w:t>5</w:t>
            </w:r>
            <w:r w:rsidRPr="00C451C8">
              <w:rPr>
                <w:rFonts w:ascii="Aptos" w:hAnsi="Aptos"/>
                <w:noProof/>
                <w:webHidden/>
              </w:rPr>
              <w:fldChar w:fldCharType="end"/>
            </w:r>
          </w:hyperlink>
        </w:p>
        <w:p w14:paraId="3F65521F" w14:textId="178A09E6" w:rsidR="00EA0BC2" w:rsidRPr="00C451C8" w:rsidRDefault="00EA0BC2">
          <w:pPr>
            <w:pStyle w:val="TOC2"/>
            <w:tabs>
              <w:tab w:val="left" w:pos="960"/>
              <w:tab w:val="right" w:leader="dot" w:pos="9016"/>
            </w:tabs>
            <w:rPr>
              <w:rFonts w:ascii="Aptos" w:eastAsiaTheme="minorEastAsia" w:hAnsi="Aptos"/>
              <w:noProof/>
              <w:kern w:val="2"/>
              <w:sz w:val="24"/>
              <w:lang w:eastAsia="en-AU"/>
              <w14:ligatures w14:val="standardContextual"/>
            </w:rPr>
          </w:pPr>
          <w:hyperlink w:anchor="_Toc207710346" w:history="1">
            <w:r w:rsidRPr="00C451C8">
              <w:rPr>
                <w:rStyle w:val="Hyperlink"/>
                <w:rFonts w:ascii="Aptos" w:hAnsi="Aptos"/>
                <w:noProof/>
              </w:rPr>
              <w:t>2.1</w:t>
            </w:r>
            <w:r w:rsidRPr="00C451C8">
              <w:rPr>
                <w:rFonts w:ascii="Aptos" w:eastAsiaTheme="minorEastAsia" w:hAnsi="Aptos"/>
                <w:noProof/>
                <w:kern w:val="2"/>
                <w:sz w:val="24"/>
                <w:lang w:eastAsia="en-AU"/>
                <w14:ligatures w14:val="standardContextual"/>
              </w:rPr>
              <w:tab/>
            </w:r>
            <w:r w:rsidRPr="00C451C8">
              <w:rPr>
                <w:rStyle w:val="Hyperlink"/>
                <w:rFonts w:ascii="Aptos" w:hAnsi="Aptos"/>
                <w:noProof/>
              </w:rPr>
              <w:t>Specialised technology loans</w:t>
            </w:r>
            <w:r w:rsidRPr="00C451C8">
              <w:rPr>
                <w:rFonts w:ascii="Aptos" w:hAnsi="Aptos"/>
                <w:noProof/>
                <w:webHidden/>
              </w:rPr>
              <w:tab/>
            </w:r>
            <w:r w:rsidRPr="00C451C8">
              <w:rPr>
                <w:rFonts w:ascii="Aptos" w:hAnsi="Aptos"/>
                <w:noProof/>
                <w:webHidden/>
              </w:rPr>
              <w:fldChar w:fldCharType="begin"/>
            </w:r>
            <w:r w:rsidRPr="00C451C8">
              <w:rPr>
                <w:rFonts w:ascii="Aptos" w:hAnsi="Aptos"/>
                <w:noProof/>
                <w:webHidden/>
              </w:rPr>
              <w:instrText xml:space="preserve"> PAGEREF _Toc207710346 \h </w:instrText>
            </w:r>
            <w:r w:rsidRPr="00C451C8">
              <w:rPr>
                <w:rFonts w:ascii="Aptos" w:hAnsi="Aptos"/>
                <w:noProof/>
                <w:webHidden/>
              </w:rPr>
            </w:r>
            <w:r w:rsidRPr="00C451C8">
              <w:rPr>
                <w:rFonts w:ascii="Aptos" w:hAnsi="Aptos"/>
                <w:noProof/>
                <w:webHidden/>
              </w:rPr>
              <w:fldChar w:fldCharType="separate"/>
            </w:r>
            <w:r w:rsidR="009D06B0">
              <w:rPr>
                <w:rFonts w:ascii="Aptos" w:hAnsi="Aptos"/>
                <w:noProof/>
                <w:webHidden/>
              </w:rPr>
              <w:t>5</w:t>
            </w:r>
            <w:r w:rsidRPr="00C451C8">
              <w:rPr>
                <w:rFonts w:ascii="Aptos" w:hAnsi="Aptos"/>
                <w:noProof/>
                <w:webHidden/>
              </w:rPr>
              <w:fldChar w:fldCharType="end"/>
            </w:r>
          </w:hyperlink>
        </w:p>
        <w:p w14:paraId="2D0C3805" w14:textId="1A222BD8" w:rsidR="00EA0BC2" w:rsidRPr="00C451C8" w:rsidRDefault="00EA0BC2">
          <w:pPr>
            <w:pStyle w:val="TOC2"/>
            <w:tabs>
              <w:tab w:val="left" w:pos="960"/>
              <w:tab w:val="right" w:leader="dot" w:pos="9016"/>
            </w:tabs>
            <w:rPr>
              <w:rFonts w:ascii="Aptos" w:eastAsiaTheme="minorEastAsia" w:hAnsi="Aptos"/>
              <w:noProof/>
              <w:kern w:val="2"/>
              <w:sz w:val="24"/>
              <w:lang w:eastAsia="en-AU"/>
              <w14:ligatures w14:val="standardContextual"/>
            </w:rPr>
          </w:pPr>
          <w:hyperlink w:anchor="_Toc207710347" w:history="1">
            <w:r w:rsidRPr="00C451C8">
              <w:rPr>
                <w:rStyle w:val="Hyperlink"/>
                <w:rFonts w:ascii="Aptos" w:hAnsi="Aptos"/>
                <w:noProof/>
              </w:rPr>
              <w:t>2.2</w:t>
            </w:r>
            <w:r w:rsidRPr="00C451C8">
              <w:rPr>
                <w:rFonts w:ascii="Aptos" w:eastAsiaTheme="minorEastAsia" w:hAnsi="Aptos"/>
                <w:noProof/>
                <w:kern w:val="2"/>
                <w:sz w:val="24"/>
                <w:lang w:eastAsia="en-AU"/>
                <w14:ligatures w14:val="standardContextual"/>
              </w:rPr>
              <w:tab/>
            </w:r>
            <w:r w:rsidRPr="00C451C8">
              <w:rPr>
                <w:rStyle w:val="Hyperlink"/>
                <w:rFonts w:ascii="Aptos" w:hAnsi="Aptos"/>
                <w:noProof/>
              </w:rPr>
              <w:t>Technology stocktake and bi-annual electrical tagging</w:t>
            </w:r>
            <w:r w:rsidRPr="00C451C8">
              <w:rPr>
                <w:rFonts w:ascii="Aptos" w:hAnsi="Aptos"/>
                <w:noProof/>
                <w:webHidden/>
              </w:rPr>
              <w:tab/>
            </w:r>
            <w:r w:rsidRPr="00C451C8">
              <w:rPr>
                <w:rFonts w:ascii="Aptos" w:hAnsi="Aptos"/>
                <w:noProof/>
                <w:webHidden/>
              </w:rPr>
              <w:fldChar w:fldCharType="begin"/>
            </w:r>
            <w:r w:rsidRPr="00C451C8">
              <w:rPr>
                <w:rFonts w:ascii="Aptos" w:hAnsi="Aptos"/>
                <w:noProof/>
                <w:webHidden/>
              </w:rPr>
              <w:instrText xml:space="preserve"> PAGEREF _Toc207710347 \h </w:instrText>
            </w:r>
            <w:r w:rsidRPr="00C451C8">
              <w:rPr>
                <w:rFonts w:ascii="Aptos" w:hAnsi="Aptos"/>
                <w:noProof/>
                <w:webHidden/>
              </w:rPr>
            </w:r>
            <w:r w:rsidRPr="00C451C8">
              <w:rPr>
                <w:rFonts w:ascii="Aptos" w:hAnsi="Aptos"/>
                <w:noProof/>
                <w:webHidden/>
              </w:rPr>
              <w:fldChar w:fldCharType="separate"/>
            </w:r>
            <w:r w:rsidR="009D06B0">
              <w:rPr>
                <w:rFonts w:ascii="Aptos" w:hAnsi="Aptos"/>
                <w:noProof/>
                <w:webHidden/>
              </w:rPr>
              <w:t>5</w:t>
            </w:r>
            <w:r w:rsidRPr="00C451C8">
              <w:rPr>
                <w:rFonts w:ascii="Aptos" w:hAnsi="Aptos"/>
                <w:noProof/>
                <w:webHidden/>
              </w:rPr>
              <w:fldChar w:fldCharType="end"/>
            </w:r>
          </w:hyperlink>
        </w:p>
        <w:p w14:paraId="48CDD99A" w14:textId="7F865BA0" w:rsidR="00EA0BC2" w:rsidRPr="00C451C8" w:rsidRDefault="00EA0BC2">
          <w:pPr>
            <w:pStyle w:val="TOC2"/>
            <w:tabs>
              <w:tab w:val="left" w:pos="960"/>
              <w:tab w:val="right" w:leader="dot" w:pos="9016"/>
            </w:tabs>
            <w:rPr>
              <w:rFonts w:ascii="Aptos" w:eastAsiaTheme="minorEastAsia" w:hAnsi="Aptos"/>
              <w:noProof/>
              <w:kern w:val="2"/>
              <w:sz w:val="24"/>
              <w:lang w:eastAsia="en-AU"/>
              <w14:ligatures w14:val="standardContextual"/>
            </w:rPr>
          </w:pPr>
          <w:hyperlink w:anchor="_Toc207710348" w:history="1">
            <w:r w:rsidRPr="00C451C8">
              <w:rPr>
                <w:rStyle w:val="Hyperlink"/>
                <w:rFonts w:ascii="Aptos" w:hAnsi="Aptos"/>
                <w:noProof/>
              </w:rPr>
              <w:t>2.3</w:t>
            </w:r>
            <w:r w:rsidRPr="00C451C8">
              <w:rPr>
                <w:rFonts w:ascii="Aptos" w:eastAsiaTheme="minorEastAsia" w:hAnsi="Aptos"/>
                <w:noProof/>
                <w:kern w:val="2"/>
                <w:sz w:val="24"/>
                <w:lang w:eastAsia="en-AU"/>
                <w14:ligatures w14:val="standardContextual"/>
              </w:rPr>
              <w:tab/>
            </w:r>
            <w:r w:rsidRPr="00C451C8">
              <w:rPr>
                <w:rStyle w:val="Hyperlink"/>
                <w:rFonts w:ascii="Aptos" w:hAnsi="Aptos"/>
                <w:noProof/>
              </w:rPr>
              <w:t>Specialised subsidised support services</w:t>
            </w:r>
            <w:r w:rsidRPr="00C451C8">
              <w:rPr>
                <w:rFonts w:ascii="Aptos" w:hAnsi="Aptos"/>
                <w:noProof/>
                <w:webHidden/>
              </w:rPr>
              <w:tab/>
            </w:r>
            <w:r w:rsidRPr="00C451C8">
              <w:rPr>
                <w:rFonts w:ascii="Aptos" w:hAnsi="Aptos"/>
                <w:noProof/>
                <w:webHidden/>
              </w:rPr>
              <w:fldChar w:fldCharType="begin"/>
            </w:r>
            <w:r w:rsidRPr="00C451C8">
              <w:rPr>
                <w:rFonts w:ascii="Aptos" w:hAnsi="Aptos"/>
                <w:noProof/>
                <w:webHidden/>
              </w:rPr>
              <w:instrText xml:space="preserve"> PAGEREF _Toc207710348 \h </w:instrText>
            </w:r>
            <w:r w:rsidRPr="00C451C8">
              <w:rPr>
                <w:rFonts w:ascii="Aptos" w:hAnsi="Aptos"/>
                <w:noProof/>
                <w:webHidden/>
              </w:rPr>
            </w:r>
            <w:r w:rsidRPr="00C451C8">
              <w:rPr>
                <w:rFonts w:ascii="Aptos" w:hAnsi="Aptos"/>
                <w:noProof/>
                <w:webHidden/>
              </w:rPr>
              <w:fldChar w:fldCharType="separate"/>
            </w:r>
            <w:r w:rsidR="009D06B0">
              <w:rPr>
                <w:rFonts w:ascii="Aptos" w:hAnsi="Aptos"/>
                <w:noProof/>
                <w:webHidden/>
              </w:rPr>
              <w:t>5</w:t>
            </w:r>
            <w:r w:rsidRPr="00C451C8">
              <w:rPr>
                <w:rFonts w:ascii="Aptos" w:hAnsi="Aptos"/>
                <w:noProof/>
                <w:webHidden/>
              </w:rPr>
              <w:fldChar w:fldCharType="end"/>
            </w:r>
          </w:hyperlink>
        </w:p>
        <w:p w14:paraId="1C21D538" w14:textId="29AFE017" w:rsidR="00EA0BC2" w:rsidRPr="00C451C8" w:rsidRDefault="00EA0BC2">
          <w:pPr>
            <w:pStyle w:val="TOC2"/>
            <w:tabs>
              <w:tab w:val="left" w:pos="960"/>
              <w:tab w:val="right" w:leader="dot" w:pos="9016"/>
            </w:tabs>
            <w:rPr>
              <w:rFonts w:ascii="Aptos" w:eastAsiaTheme="minorEastAsia" w:hAnsi="Aptos"/>
              <w:noProof/>
              <w:kern w:val="2"/>
              <w:sz w:val="24"/>
              <w:lang w:eastAsia="en-AU"/>
              <w14:ligatures w14:val="standardContextual"/>
            </w:rPr>
          </w:pPr>
          <w:hyperlink w:anchor="_Toc207710349" w:history="1">
            <w:r w:rsidRPr="00C451C8">
              <w:rPr>
                <w:rStyle w:val="Hyperlink"/>
                <w:rFonts w:ascii="Aptos" w:hAnsi="Aptos"/>
                <w:noProof/>
              </w:rPr>
              <w:t>2.4</w:t>
            </w:r>
            <w:r w:rsidRPr="00C451C8">
              <w:rPr>
                <w:rFonts w:ascii="Aptos" w:eastAsiaTheme="minorEastAsia" w:hAnsi="Aptos"/>
                <w:noProof/>
                <w:kern w:val="2"/>
                <w:sz w:val="24"/>
                <w:lang w:eastAsia="en-AU"/>
                <w14:ligatures w14:val="standardContextual"/>
              </w:rPr>
              <w:tab/>
            </w:r>
            <w:r w:rsidRPr="00C451C8">
              <w:rPr>
                <w:rStyle w:val="Hyperlink"/>
                <w:rFonts w:ascii="Aptos" w:hAnsi="Aptos"/>
                <w:noProof/>
              </w:rPr>
              <w:t>Monitoring subsidised support services</w:t>
            </w:r>
            <w:r w:rsidRPr="00C451C8">
              <w:rPr>
                <w:rFonts w:ascii="Aptos" w:hAnsi="Aptos"/>
                <w:noProof/>
                <w:webHidden/>
              </w:rPr>
              <w:tab/>
            </w:r>
            <w:r w:rsidRPr="00C451C8">
              <w:rPr>
                <w:rFonts w:ascii="Aptos" w:hAnsi="Aptos"/>
                <w:noProof/>
                <w:webHidden/>
              </w:rPr>
              <w:fldChar w:fldCharType="begin"/>
            </w:r>
            <w:r w:rsidRPr="00C451C8">
              <w:rPr>
                <w:rFonts w:ascii="Aptos" w:hAnsi="Aptos"/>
                <w:noProof/>
                <w:webHidden/>
              </w:rPr>
              <w:instrText xml:space="preserve"> PAGEREF _Toc207710349 \h </w:instrText>
            </w:r>
            <w:r w:rsidRPr="00C451C8">
              <w:rPr>
                <w:rFonts w:ascii="Aptos" w:hAnsi="Aptos"/>
                <w:noProof/>
                <w:webHidden/>
              </w:rPr>
            </w:r>
            <w:r w:rsidRPr="00C451C8">
              <w:rPr>
                <w:rFonts w:ascii="Aptos" w:hAnsi="Aptos"/>
                <w:noProof/>
                <w:webHidden/>
              </w:rPr>
              <w:fldChar w:fldCharType="separate"/>
            </w:r>
            <w:r w:rsidR="009D06B0">
              <w:rPr>
                <w:rFonts w:ascii="Aptos" w:hAnsi="Aptos"/>
                <w:noProof/>
                <w:webHidden/>
              </w:rPr>
              <w:t>5</w:t>
            </w:r>
            <w:r w:rsidRPr="00C451C8">
              <w:rPr>
                <w:rFonts w:ascii="Aptos" w:hAnsi="Aptos"/>
                <w:noProof/>
                <w:webHidden/>
              </w:rPr>
              <w:fldChar w:fldCharType="end"/>
            </w:r>
          </w:hyperlink>
        </w:p>
        <w:p w14:paraId="58FD8AE0" w14:textId="0E5470A0" w:rsidR="00EA0BC2" w:rsidRPr="00C451C8" w:rsidRDefault="00EA0BC2">
          <w:pPr>
            <w:pStyle w:val="TOC1"/>
            <w:tabs>
              <w:tab w:val="left" w:pos="440"/>
              <w:tab w:val="right" w:leader="dot" w:pos="9016"/>
            </w:tabs>
            <w:rPr>
              <w:rFonts w:ascii="Aptos" w:eastAsiaTheme="minorEastAsia" w:hAnsi="Aptos"/>
              <w:noProof/>
              <w:kern w:val="2"/>
              <w:sz w:val="24"/>
              <w:lang w:eastAsia="en-AU"/>
              <w14:ligatures w14:val="standardContextual"/>
            </w:rPr>
          </w:pPr>
          <w:hyperlink w:anchor="_Toc207710350" w:history="1">
            <w:r w:rsidRPr="00C451C8">
              <w:rPr>
                <w:rStyle w:val="Hyperlink"/>
                <w:rFonts w:ascii="Aptos" w:eastAsia="MS Gothic" w:hAnsi="Aptos"/>
                <w:noProof/>
              </w:rPr>
              <w:t>3</w:t>
            </w:r>
            <w:r w:rsidRPr="00C451C8">
              <w:rPr>
                <w:rFonts w:ascii="Aptos" w:eastAsiaTheme="minorEastAsia" w:hAnsi="Aptos"/>
                <w:noProof/>
                <w:kern w:val="2"/>
                <w:sz w:val="24"/>
                <w:lang w:eastAsia="en-AU"/>
                <w14:ligatures w14:val="standardContextual"/>
              </w:rPr>
              <w:tab/>
            </w:r>
            <w:r w:rsidRPr="00C451C8">
              <w:rPr>
                <w:rStyle w:val="Hyperlink"/>
                <w:rFonts w:ascii="Aptos" w:hAnsi="Aptos"/>
                <w:noProof/>
              </w:rPr>
              <w:t>Bi-annual report</w:t>
            </w:r>
            <w:r w:rsidRPr="00C451C8">
              <w:rPr>
                <w:rFonts w:ascii="Aptos" w:hAnsi="Aptos"/>
                <w:noProof/>
                <w:webHidden/>
              </w:rPr>
              <w:tab/>
            </w:r>
            <w:r w:rsidRPr="00C451C8">
              <w:rPr>
                <w:rFonts w:ascii="Aptos" w:hAnsi="Aptos"/>
                <w:noProof/>
                <w:webHidden/>
              </w:rPr>
              <w:fldChar w:fldCharType="begin"/>
            </w:r>
            <w:r w:rsidRPr="00C451C8">
              <w:rPr>
                <w:rFonts w:ascii="Aptos" w:hAnsi="Aptos"/>
                <w:noProof/>
                <w:webHidden/>
              </w:rPr>
              <w:instrText xml:space="preserve"> PAGEREF _Toc207710350 \h </w:instrText>
            </w:r>
            <w:r w:rsidRPr="00C451C8">
              <w:rPr>
                <w:rFonts w:ascii="Aptos" w:hAnsi="Aptos"/>
                <w:noProof/>
                <w:webHidden/>
              </w:rPr>
            </w:r>
            <w:r w:rsidRPr="00C451C8">
              <w:rPr>
                <w:rFonts w:ascii="Aptos" w:hAnsi="Aptos"/>
                <w:noProof/>
                <w:webHidden/>
              </w:rPr>
              <w:fldChar w:fldCharType="separate"/>
            </w:r>
            <w:r w:rsidR="009D06B0">
              <w:rPr>
                <w:rFonts w:ascii="Aptos" w:hAnsi="Aptos"/>
                <w:noProof/>
                <w:webHidden/>
              </w:rPr>
              <w:t>6</w:t>
            </w:r>
            <w:r w:rsidRPr="00C451C8">
              <w:rPr>
                <w:rFonts w:ascii="Aptos" w:hAnsi="Aptos"/>
                <w:noProof/>
                <w:webHidden/>
              </w:rPr>
              <w:fldChar w:fldCharType="end"/>
            </w:r>
          </w:hyperlink>
        </w:p>
        <w:p w14:paraId="11C5A2CC" w14:textId="0FEA1114" w:rsidR="00EA0BC2" w:rsidRPr="00C451C8" w:rsidRDefault="00EA0BC2">
          <w:pPr>
            <w:pStyle w:val="TOC2"/>
            <w:tabs>
              <w:tab w:val="left" w:pos="960"/>
              <w:tab w:val="right" w:leader="dot" w:pos="9016"/>
            </w:tabs>
            <w:rPr>
              <w:rFonts w:ascii="Aptos" w:eastAsiaTheme="minorEastAsia" w:hAnsi="Aptos"/>
              <w:noProof/>
              <w:kern w:val="2"/>
              <w:sz w:val="24"/>
              <w:lang w:eastAsia="en-AU"/>
              <w14:ligatures w14:val="standardContextual"/>
            </w:rPr>
          </w:pPr>
          <w:hyperlink w:anchor="_Toc207710351" w:history="1">
            <w:r w:rsidRPr="00C451C8">
              <w:rPr>
                <w:rStyle w:val="Hyperlink"/>
                <w:rFonts w:ascii="Aptos" w:hAnsi="Aptos"/>
                <w:noProof/>
              </w:rPr>
              <w:t>3.1</w:t>
            </w:r>
            <w:r w:rsidRPr="00C451C8">
              <w:rPr>
                <w:rFonts w:ascii="Aptos" w:eastAsiaTheme="minorEastAsia" w:hAnsi="Aptos"/>
                <w:noProof/>
                <w:kern w:val="2"/>
                <w:sz w:val="24"/>
                <w:lang w:eastAsia="en-AU"/>
                <w14:ligatures w14:val="standardContextual"/>
              </w:rPr>
              <w:tab/>
            </w:r>
            <w:r w:rsidRPr="00C451C8">
              <w:rPr>
                <w:rStyle w:val="Hyperlink"/>
                <w:rFonts w:ascii="Aptos" w:hAnsi="Aptos"/>
                <w:noProof/>
              </w:rPr>
              <w:t>Bi-annual report</w:t>
            </w:r>
            <w:r w:rsidRPr="00C451C8">
              <w:rPr>
                <w:rFonts w:ascii="Aptos" w:hAnsi="Aptos"/>
                <w:noProof/>
                <w:webHidden/>
              </w:rPr>
              <w:tab/>
            </w:r>
            <w:r w:rsidRPr="00C451C8">
              <w:rPr>
                <w:rFonts w:ascii="Aptos" w:hAnsi="Aptos"/>
                <w:noProof/>
                <w:webHidden/>
              </w:rPr>
              <w:fldChar w:fldCharType="begin"/>
            </w:r>
            <w:r w:rsidRPr="00C451C8">
              <w:rPr>
                <w:rFonts w:ascii="Aptos" w:hAnsi="Aptos"/>
                <w:noProof/>
                <w:webHidden/>
              </w:rPr>
              <w:instrText xml:space="preserve"> PAGEREF _Toc207710351 \h </w:instrText>
            </w:r>
            <w:r w:rsidRPr="00C451C8">
              <w:rPr>
                <w:rFonts w:ascii="Aptos" w:hAnsi="Aptos"/>
                <w:noProof/>
                <w:webHidden/>
              </w:rPr>
            </w:r>
            <w:r w:rsidRPr="00C451C8">
              <w:rPr>
                <w:rFonts w:ascii="Aptos" w:hAnsi="Aptos"/>
                <w:noProof/>
                <w:webHidden/>
              </w:rPr>
              <w:fldChar w:fldCharType="separate"/>
            </w:r>
            <w:r w:rsidR="009D06B0">
              <w:rPr>
                <w:rFonts w:ascii="Aptos" w:hAnsi="Aptos"/>
                <w:noProof/>
                <w:webHidden/>
              </w:rPr>
              <w:t>6</w:t>
            </w:r>
            <w:r w:rsidRPr="00C451C8">
              <w:rPr>
                <w:rFonts w:ascii="Aptos" w:hAnsi="Aptos"/>
                <w:noProof/>
                <w:webHidden/>
              </w:rPr>
              <w:fldChar w:fldCharType="end"/>
            </w:r>
          </w:hyperlink>
        </w:p>
        <w:p w14:paraId="66032368" w14:textId="40C86BC1" w:rsidR="00EA0BC2" w:rsidRPr="00C451C8" w:rsidRDefault="00EA0BC2">
          <w:pPr>
            <w:pStyle w:val="TOC2"/>
            <w:tabs>
              <w:tab w:val="left" w:pos="960"/>
              <w:tab w:val="right" w:leader="dot" w:pos="9016"/>
            </w:tabs>
            <w:rPr>
              <w:rFonts w:ascii="Aptos" w:eastAsiaTheme="minorEastAsia" w:hAnsi="Aptos"/>
              <w:noProof/>
              <w:kern w:val="2"/>
              <w:sz w:val="24"/>
              <w:lang w:eastAsia="en-AU"/>
              <w14:ligatures w14:val="standardContextual"/>
            </w:rPr>
          </w:pPr>
          <w:hyperlink w:anchor="_Toc207710352" w:history="1">
            <w:r w:rsidRPr="00C451C8">
              <w:rPr>
                <w:rStyle w:val="Hyperlink"/>
                <w:rFonts w:ascii="Aptos" w:hAnsi="Aptos"/>
                <w:noProof/>
              </w:rPr>
              <w:t>3.2</w:t>
            </w:r>
            <w:r w:rsidRPr="00C451C8">
              <w:rPr>
                <w:rFonts w:ascii="Aptos" w:eastAsiaTheme="minorEastAsia" w:hAnsi="Aptos"/>
                <w:noProof/>
                <w:kern w:val="2"/>
                <w:sz w:val="24"/>
                <w:lang w:eastAsia="en-AU"/>
                <w14:ligatures w14:val="standardContextual"/>
              </w:rPr>
              <w:tab/>
            </w:r>
            <w:r w:rsidRPr="00C451C8">
              <w:rPr>
                <w:rStyle w:val="Hyperlink"/>
                <w:rFonts w:ascii="Aptos" w:hAnsi="Aptos"/>
                <w:noProof/>
              </w:rPr>
              <w:t>Acquittal process</w:t>
            </w:r>
            <w:r w:rsidRPr="00C451C8">
              <w:rPr>
                <w:rFonts w:ascii="Aptos" w:hAnsi="Aptos"/>
                <w:noProof/>
                <w:webHidden/>
              </w:rPr>
              <w:tab/>
            </w:r>
            <w:r w:rsidRPr="00C451C8">
              <w:rPr>
                <w:rFonts w:ascii="Aptos" w:hAnsi="Aptos"/>
                <w:noProof/>
                <w:webHidden/>
              </w:rPr>
              <w:fldChar w:fldCharType="begin"/>
            </w:r>
            <w:r w:rsidRPr="00C451C8">
              <w:rPr>
                <w:rFonts w:ascii="Aptos" w:hAnsi="Aptos"/>
                <w:noProof/>
                <w:webHidden/>
              </w:rPr>
              <w:instrText xml:space="preserve"> PAGEREF _Toc207710352 \h </w:instrText>
            </w:r>
            <w:r w:rsidRPr="00C451C8">
              <w:rPr>
                <w:rFonts w:ascii="Aptos" w:hAnsi="Aptos"/>
                <w:noProof/>
                <w:webHidden/>
              </w:rPr>
            </w:r>
            <w:r w:rsidRPr="00C451C8">
              <w:rPr>
                <w:rFonts w:ascii="Aptos" w:hAnsi="Aptos"/>
                <w:noProof/>
                <w:webHidden/>
              </w:rPr>
              <w:fldChar w:fldCharType="separate"/>
            </w:r>
            <w:r w:rsidR="009D06B0">
              <w:rPr>
                <w:rFonts w:ascii="Aptos" w:hAnsi="Aptos"/>
                <w:noProof/>
                <w:webHidden/>
              </w:rPr>
              <w:t>6</w:t>
            </w:r>
            <w:r w:rsidRPr="00C451C8">
              <w:rPr>
                <w:rFonts w:ascii="Aptos" w:hAnsi="Aptos"/>
                <w:noProof/>
                <w:webHidden/>
              </w:rPr>
              <w:fldChar w:fldCharType="end"/>
            </w:r>
          </w:hyperlink>
        </w:p>
        <w:p w14:paraId="21722892" w14:textId="5821BD5A" w:rsidR="00EA0BC2" w:rsidRPr="00C451C8" w:rsidRDefault="00EA0BC2">
          <w:pPr>
            <w:pStyle w:val="TOC2"/>
            <w:tabs>
              <w:tab w:val="left" w:pos="960"/>
              <w:tab w:val="right" w:leader="dot" w:pos="9016"/>
            </w:tabs>
            <w:rPr>
              <w:rFonts w:ascii="Aptos" w:eastAsiaTheme="minorEastAsia" w:hAnsi="Aptos"/>
              <w:noProof/>
              <w:kern w:val="2"/>
              <w:sz w:val="24"/>
              <w:lang w:eastAsia="en-AU"/>
              <w14:ligatures w14:val="standardContextual"/>
            </w:rPr>
          </w:pPr>
          <w:hyperlink w:anchor="_Toc207710353" w:history="1">
            <w:r w:rsidRPr="00C451C8">
              <w:rPr>
                <w:rStyle w:val="Hyperlink"/>
                <w:rFonts w:ascii="Aptos" w:hAnsi="Aptos"/>
                <w:noProof/>
              </w:rPr>
              <w:t>3.3</w:t>
            </w:r>
            <w:r w:rsidRPr="00C451C8">
              <w:rPr>
                <w:rFonts w:ascii="Aptos" w:eastAsiaTheme="minorEastAsia" w:hAnsi="Aptos"/>
                <w:noProof/>
                <w:kern w:val="2"/>
                <w:sz w:val="24"/>
                <w:lang w:eastAsia="en-AU"/>
                <w14:ligatures w14:val="standardContextual"/>
              </w:rPr>
              <w:tab/>
            </w:r>
            <w:r w:rsidRPr="00C451C8">
              <w:rPr>
                <w:rStyle w:val="Hyperlink"/>
                <w:rFonts w:ascii="Aptos" w:hAnsi="Aptos"/>
                <w:noProof/>
              </w:rPr>
              <w:t>Returning technology</w:t>
            </w:r>
            <w:r w:rsidRPr="00C451C8">
              <w:rPr>
                <w:rFonts w:ascii="Aptos" w:hAnsi="Aptos"/>
                <w:noProof/>
                <w:webHidden/>
              </w:rPr>
              <w:tab/>
            </w:r>
            <w:r w:rsidRPr="00C451C8">
              <w:rPr>
                <w:rFonts w:ascii="Aptos" w:hAnsi="Aptos"/>
                <w:noProof/>
                <w:webHidden/>
              </w:rPr>
              <w:fldChar w:fldCharType="begin"/>
            </w:r>
            <w:r w:rsidRPr="00C451C8">
              <w:rPr>
                <w:rFonts w:ascii="Aptos" w:hAnsi="Aptos"/>
                <w:noProof/>
                <w:webHidden/>
              </w:rPr>
              <w:instrText xml:space="preserve"> PAGEREF _Toc207710353 \h </w:instrText>
            </w:r>
            <w:r w:rsidRPr="00C451C8">
              <w:rPr>
                <w:rFonts w:ascii="Aptos" w:hAnsi="Aptos"/>
                <w:noProof/>
                <w:webHidden/>
              </w:rPr>
            </w:r>
            <w:r w:rsidRPr="00C451C8">
              <w:rPr>
                <w:rFonts w:ascii="Aptos" w:hAnsi="Aptos"/>
                <w:noProof/>
                <w:webHidden/>
              </w:rPr>
              <w:fldChar w:fldCharType="separate"/>
            </w:r>
            <w:r w:rsidR="009D06B0">
              <w:rPr>
                <w:rFonts w:ascii="Aptos" w:hAnsi="Aptos"/>
                <w:noProof/>
                <w:webHidden/>
              </w:rPr>
              <w:t>6</w:t>
            </w:r>
            <w:r w:rsidRPr="00C451C8">
              <w:rPr>
                <w:rFonts w:ascii="Aptos" w:hAnsi="Aptos"/>
                <w:noProof/>
                <w:webHidden/>
              </w:rPr>
              <w:fldChar w:fldCharType="end"/>
            </w:r>
          </w:hyperlink>
        </w:p>
        <w:p w14:paraId="338B3012" w14:textId="7BF58B7F" w:rsidR="00EA0BC2" w:rsidRPr="00C451C8" w:rsidRDefault="00EA0BC2">
          <w:pPr>
            <w:pStyle w:val="TOC2"/>
            <w:tabs>
              <w:tab w:val="left" w:pos="960"/>
              <w:tab w:val="right" w:leader="dot" w:pos="9016"/>
            </w:tabs>
            <w:rPr>
              <w:rFonts w:ascii="Aptos" w:eastAsiaTheme="minorEastAsia" w:hAnsi="Aptos"/>
              <w:noProof/>
              <w:kern w:val="2"/>
              <w:sz w:val="24"/>
              <w:lang w:eastAsia="en-AU"/>
              <w14:ligatures w14:val="standardContextual"/>
            </w:rPr>
          </w:pPr>
          <w:hyperlink w:anchor="_Toc207710354" w:history="1">
            <w:r w:rsidRPr="00C451C8">
              <w:rPr>
                <w:rStyle w:val="Hyperlink"/>
                <w:rFonts w:ascii="Aptos" w:hAnsi="Aptos"/>
                <w:noProof/>
              </w:rPr>
              <w:t>3.4</w:t>
            </w:r>
            <w:r w:rsidRPr="00C451C8">
              <w:rPr>
                <w:rFonts w:ascii="Aptos" w:eastAsiaTheme="minorEastAsia" w:hAnsi="Aptos"/>
                <w:noProof/>
                <w:kern w:val="2"/>
                <w:sz w:val="24"/>
                <w:lang w:eastAsia="en-AU"/>
                <w14:ligatures w14:val="standardContextual"/>
              </w:rPr>
              <w:tab/>
            </w:r>
            <w:r w:rsidRPr="00C451C8">
              <w:rPr>
                <w:rStyle w:val="Hyperlink"/>
                <w:rFonts w:ascii="Aptos" w:hAnsi="Aptos"/>
                <w:noProof/>
              </w:rPr>
              <w:t>Feedback</w:t>
            </w:r>
            <w:r w:rsidRPr="00C451C8">
              <w:rPr>
                <w:rFonts w:ascii="Aptos" w:hAnsi="Aptos"/>
                <w:noProof/>
                <w:webHidden/>
              </w:rPr>
              <w:tab/>
            </w:r>
            <w:r w:rsidRPr="00C451C8">
              <w:rPr>
                <w:rFonts w:ascii="Aptos" w:hAnsi="Aptos"/>
                <w:noProof/>
                <w:webHidden/>
              </w:rPr>
              <w:fldChar w:fldCharType="begin"/>
            </w:r>
            <w:r w:rsidRPr="00C451C8">
              <w:rPr>
                <w:rFonts w:ascii="Aptos" w:hAnsi="Aptos"/>
                <w:noProof/>
                <w:webHidden/>
              </w:rPr>
              <w:instrText xml:space="preserve"> PAGEREF _Toc207710354 \h </w:instrText>
            </w:r>
            <w:r w:rsidRPr="00C451C8">
              <w:rPr>
                <w:rFonts w:ascii="Aptos" w:hAnsi="Aptos"/>
                <w:noProof/>
                <w:webHidden/>
              </w:rPr>
            </w:r>
            <w:r w:rsidRPr="00C451C8">
              <w:rPr>
                <w:rFonts w:ascii="Aptos" w:hAnsi="Aptos"/>
                <w:noProof/>
                <w:webHidden/>
              </w:rPr>
              <w:fldChar w:fldCharType="separate"/>
            </w:r>
            <w:r w:rsidR="009D06B0">
              <w:rPr>
                <w:rFonts w:ascii="Aptos" w:hAnsi="Aptos"/>
                <w:noProof/>
                <w:webHidden/>
              </w:rPr>
              <w:t>6</w:t>
            </w:r>
            <w:r w:rsidRPr="00C451C8">
              <w:rPr>
                <w:rFonts w:ascii="Aptos" w:hAnsi="Aptos"/>
                <w:noProof/>
                <w:webHidden/>
              </w:rPr>
              <w:fldChar w:fldCharType="end"/>
            </w:r>
          </w:hyperlink>
        </w:p>
        <w:p w14:paraId="7DC003DE" w14:textId="06DA4BD8" w:rsidR="00EA0BC2" w:rsidRPr="00C451C8" w:rsidRDefault="00EA0BC2">
          <w:pPr>
            <w:pStyle w:val="TOC1"/>
            <w:tabs>
              <w:tab w:val="right" w:leader="dot" w:pos="9016"/>
            </w:tabs>
            <w:rPr>
              <w:rFonts w:ascii="Aptos" w:eastAsiaTheme="minorEastAsia" w:hAnsi="Aptos"/>
              <w:noProof/>
              <w:kern w:val="2"/>
              <w:sz w:val="24"/>
              <w:lang w:eastAsia="en-AU"/>
              <w14:ligatures w14:val="standardContextual"/>
            </w:rPr>
          </w:pPr>
          <w:hyperlink w:anchor="_Toc207710355" w:history="1">
            <w:r w:rsidRPr="00C451C8">
              <w:rPr>
                <w:rStyle w:val="Hyperlink"/>
                <w:rFonts w:ascii="Aptos" w:hAnsi="Aptos"/>
                <w:noProof/>
              </w:rPr>
              <w:t>Appendix 1 – Application process</w:t>
            </w:r>
            <w:r w:rsidRPr="00C451C8">
              <w:rPr>
                <w:rFonts w:ascii="Aptos" w:hAnsi="Aptos"/>
                <w:noProof/>
                <w:webHidden/>
              </w:rPr>
              <w:tab/>
            </w:r>
            <w:r w:rsidRPr="00C451C8">
              <w:rPr>
                <w:rFonts w:ascii="Aptos" w:hAnsi="Aptos"/>
                <w:noProof/>
                <w:webHidden/>
              </w:rPr>
              <w:fldChar w:fldCharType="begin"/>
            </w:r>
            <w:r w:rsidRPr="00C451C8">
              <w:rPr>
                <w:rFonts w:ascii="Aptos" w:hAnsi="Aptos"/>
                <w:noProof/>
                <w:webHidden/>
              </w:rPr>
              <w:instrText xml:space="preserve"> PAGEREF _Toc207710355 \h </w:instrText>
            </w:r>
            <w:r w:rsidRPr="00C451C8">
              <w:rPr>
                <w:rFonts w:ascii="Aptos" w:hAnsi="Aptos"/>
                <w:noProof/>
                <w:webHidden/>
              </w:rPr>
            </w:r>
            <w:r w:rsidRPr="00C451C8">
              <w:rPr>
                <w:rFonts w:ascii="Aptos" w:hAnsi="Aptos"/>
                <w:noProof/>
                <w:webHidden/>
              </w:rPr>
              <w:fldChar w:fldCharType="separate"/>
            </w:r>
            <w:r w:rsidR="009D06B0">
              <w:rPr>
                <w:rFonts w:ascii="Aptos" w:hAnsi="Aptos"/>
                <w:noProof/>
                <w:webHidden/>
              </w:rPr>
              <w:t>7</w:t>
            </w:r>
            <w:r w:rsidRPr="00C451C8">
              <w:rPr>
                <w:rFonts w:ascii="Aptos" w:hAnsi="Aptos"/>
                <w:noProof/>
                <w:webHidden/>
              </w:rPr>
              <w:fldChar w:fldCharType="end"/>
            </w:r>
          </w:hyperlink>
        </w:p>
        <w:p w14:paraId="4A6159FA" w14:textId="28985F95" w:rsidR="00EA0BC2" w:rsidRPr="00C451C8" w:rsidRDefault="00EA0BC2">
          <w:pPr>
            <w:pStyle w:val="TOC1"/>
            <w:tabs>
              <w:tab w:val="right" w:leader="dot" w:pos="9016"/>
            </w:tabs>
            <w:rPr>
              <w:rFonts w:ascii="Aptos" w:eastAsiaTheme="minorEastAsia" w:hAnsi="Aptos"/>
              <w:noProof/>
              <w:kern w:val="2"/>
              <w:sz w:val="24"/>
              <w:lang w:eastAsia="en-AU"/>
              <w14:ligatures w14:val="standardContextual"/>
            </w:rPr>
          </w:pPr>
          <w:hyperlink w:anchor="_Toc207710356" w:history="1">
            <w:r w:rsidRPr="00C451C8">
              <w:rPr>
                <w:rStyle w:val="Hyperlink"/>
                <w:rFonts w:ascii="Aptos" w:hAnsi="Aptos"/>
                <w:bCs/>
                <w:noProof/>
              </w:rPr>
              <w:t>4. Evidence of need statement</w:t>
            </w:r>
            <w:r w:rsidRPr="00C451C8">
              <w:rPr>
                <w:rFonts w:ascii="Aptos" w:hAnsi="Aptos"/>
                <w:noProof/>
                <w:webHidden/>
              </w:rPr>
              <w:tab/>
            </w:r>
            <w:r w:rsidRPr="00C451C8">
              <w:rPr>
                <w:rFonts w:ascii="Aptos" w:hAnsi="Aptos"/>
                <w:noProof/>
                <w:webHidden/>
              </w:rPr>
              <w:fldChar w:fldCharType="begin"/>
            </w:r>
            <w:r w:rsidRPr="00C451C8">
              <w:rPr>
                <w:rFonts w:ascii="Aptos" w:hAnsi="Aptos"/>
                <w:noProof/>
                <w:webHidden/>
              </w:rPr>
              <w:instrText xml:space="preserve"> PAGEREF _Toc207710356 \h </w:instrText>
            </w:r>
            <w:r w:rsidRPr="00C451C8">
              <w:rPr>
                <w:rFonts w:ascii="Aptos" w:hAnsi="Aptos"/>
                <w:noProof/>
                <w:webHidden/>
              </w:rPr>
            </w:r>
            <w:r w:rsidRPr="00C451C8">
              <w:rPr>
                <w:rFonts w:ascii="Aptos" w:hAnsi="Aptos"/>
                <w:noProof/>
                <w:webHidden/>
              </w:rPr>
              <w:fldChar w:fldCharType="separate"/>
            </w:r>
            <w:r w:rsidR="009D06B0">
              <w:rPr>
                <w:rFonts w:ascii="Aptos" w:hAnsi="Aptos"/>
                <w:noProof/>
                <w:webHidden/>
              </w:rPr>
              <w:t>8</w:t>
            </w:r>
            <w:r w:rsidRPr="00C451C8">
              <w:rPr>
                <w:rFonts w:ascii="Aptos" w:hAnsi="Aptos"/>
                <w:noProof/>
                <w:webHidden/>
              </w:rPr>
              <w:fldChar w:fldCharType="end"/>
            </w:r>
          </w:hyperlink>
        </w:p>
        <w:p w14:paraId="730B9761" w14:textId="13C5AF41" w:rsidR="007737B5" w:rsidRPr="00C451C8" w:rsidRDefault="007737B5" w:rsidP="007737B5">
          <w:pPr>
            <w:spacing w:line="276" w:lineRule="auto"/>
            <w:rPr>
              <w:rFonts w:ascii="Aptos" w:hAnsi="Aptos"/>
              <w:noProof/>
              <w:szCs w:val="22"/>
            </w:rPr>
          </w:pPr>
          <w:r w:rsidRPr="00C451C8">
            <w:rPr>
              <w:rFonts w:ascii="Aptos" w:hAnsi="Aptos"/>
              <w:b/>
              <w:bCs/>
              <w:noProof/>
              <w:szCs w:val="22"/>
            </w:rPr>
            <w:fldChar w:fldCharType="end"/>
          </w:r>
        </w:p>
      </w:sdtContent>
    </w:sdt>
    <w:p w14:paraId="1EBB5469" w14:textId="77777777" w:rsidR="007737B5" w:rsidRPr="00C451C8" w:rsidRDefault="007737B5" w:rsidP="007737B5">
      <w:pPr>
        <w:pStyle w:val="Heading1"/>
        <w:rPr>
          <w:rFonts w:ascii="Aptos" w:hAnsi="Aptos" w:cs="Calibri"/>
        </w:rPr>
      </w:pPr>
    </w:p>
    <w:p w14:paraId="13A1F07A" w14:textId="77777777" w:rsidR="007737B5" w:rsidRPr="00C451C8" w:rsidRDefault="007737B5" w:rsidP="007737B5">
      <w:pPr>
        <w:rPr>
          <w:rFonts w:ascii="Aptos" w:hAnsi="Aptos"/>
        </w:rPr>
      </w:pPr>
    </w:p>
    <w:p w14:paraId="469331DD" w14:textId="77777777" w:rsidR="007737B5" w:rsidRPr="00C451C8" w:rsidRDefault="007737B5" w:rsidP="007737B5">
      <w:pPr>
        <w:rPr>
          <w:rFonts w:ascii="Aptos" w:hAnsi="Aptos"/>
        </w:rPr>
      </w:pPr>
    </w:p>
    <w:p w14:paraId="17ECD84F" w14:textId="77777777" w:rsidR="007737B5" w:rsidRPr="00C451C8" w:rsidRDefault="007737B5" w:rsidP="007737B5">
      <w:pPr>
        <w:rPr>
          <w:rFonts w:ascii="Aptos" w:hAnsi="Aptos"/>
        </w:rPr>
      </w:pPr>
    </w:p>
    <w:p w14:paraId="74330D30" w14:textId="77777777" w:rsidR="007737B5" w:rsidRPr="00C451C8" w:rsidRDefault="007737B5" w:rsidP="007737B5">
      <w:pPr>
        <w:rPr>
          <w:rFonts w:ascii="Aptos" w:hAnsi="Aptos"/>
        </w:rPr>
      </w:pPr>
    </w:p>
    <w:p w14:paraId="658DD702" w14:textId="77777777" w:rsidR="007737B5" w:rsidRPr="00C451C8" w:rsidRDefault="007737B5" w:rsidP="007737B5">
      <w:pPr>
        <w:rPr>
          <w:rFonts w:ascii="Aptos" w:hAnsi="Aptos"/>
        </w:rPr>
      </w:pPr>
    </w:p>
    <w:p w14:paraId="0D7E4936" w14:textId="77777777" w:rsidR="007737B5" w:rsidRPr="00C451C8" w:rsidRDefault="007737B5" w:rsidP="007737B5">
      <w:pPr>
        <w:rPr>
          <w:rFonts w:ascii="Aptos" w:hAnsi="Aptos"/>
        </w:rPr>
      </w:pPr>
    </w:p>
    <w:p w14:paraId="40CB5C28" w14:textId="77777777" w:rsidR="007737B5" w:rsidRPr="00C451C8" w:rsidRDefault="007737B5" w:rsidP="007737B5">
      <w:pPr>
        <w:rPr>
          <w:rFonts w:ascii="Aptos" w:hAnsi="Aptos"/>
        </w:rPr>
      </w:pPr>
    </w:p>
    <w:p w14:paraId="549B4591" w14:textId="77777777" w:rsidR="007737B5" w:rsidRPr="00C451C8" w:rsidRDefault="007737B5" w:rsidP="007737B5">
      <w:pPr>
        <w:rPr>
          <w:rFonts w:ascii="Aptos" w:hAnsi="Aptos"/>
        </w:rPr>
      </w:pPr>
    </w:p>
    <w:p w14:paraId="63C8C01D" w14:textId="77777777" w:rsidR="007737B5" w:rsidRPr="00C451C8" w:rsidRDefault="007737B5" w:rsidP="007737B5">
      <w:pPr>
        <w:rPr>
          <w:rFonts w:ascii="Aptos" w:hAnsi="Aptos"/>
        </w:rPr>
      </w:pPr>
    </w:p>
    <w:p w14:paraId="277EFCB7" w14:textId="77777777" w:rsidR="007737B5" w:rsidRPr="00C451C8" w:rsidRDefault="007737B5" w:rsidP="007737B5">
      <w:pPr>
        <w:rPr>
          <w:rFonts w:ascii="Aptos" w:hAnsi="Aptos"/>
        </w:rPr>
      </w:pPr>
    </w:p>
    <w:p w14:paraId="4DB1CCB3" w14:textId="77777777" w:rsidR="007737B5" w:rsidRDefault="007737B5" w:rsidP="007737B5">
      <w:pPr>
        <w:rPr>
          <w:rFonts w:ascii="Aptos" w:hAnsi="Aptos"/>
        </w:rPr>
      </w:pPr>
    </w:p>
    <w:p w14:paraId="67CFEC0C" w14:textId="77777777" w:rsidR="00FC7476" w:rsidRDefault="00FC7476" w:rsidP="007737B5">
      <w:pPr>
        <w:rPr>
          <w:rFonts w:ascii="Aptos" w:hAnsi="Aptos"/>
        </w:rPr>
      </w:pPr>
    </w:p>
    <w:p w14:paraId="350B1EBE" w14:textId="77777777" w:rsidR="00FC7476" w:rsidRDefault="00FC7476" w:rsidP="007737B5">
      <w:pPr>
        <w:rPr>
          <w:rFonts w:ascii="Aptos" w:hAnsi="Aptos"/>
        </w:rPr>
      </w:pPr>
    </w:p>
    <w:p w14:paraId="499D6427" w14:textId="77777777" w:rsidR="00FC7476" w:rsidRPr="00C451C8" w:rsidRDefault="00FC7476" w:rsidP="007737B5">
      <w:pPr>
        <w:rPr>
          <w:rFonts w:ascii="Aptos" w:hAnsi="Aptos"/>
        </w:rPr>
      </w:pPr>
    </w:p>
    <w:p w14:paraId="4A98F222" w14:textId="77777777" w:rsidR="007737B5" w:rsidRPr="00C451C8" w:rsidRDefault="007737B5" w:rsidP="007737B5">
      <w:pPr>
        <w:pStyle w:val="Heading1"/>
        <w:rPr>
          <w:rFonts w:ascii="Aptos" w:hAnsi="Aptos"/>
          <w:sz w:val="32"/>
        </w:rPr>
      </w:pPr>
      <w:bookmarkStart w:id="10" w:name="_Toc468355171"/>
      <w:bookmarkStart w:id="11" w:name="_Toc2164238"/>
      <w:bookmarkStart w:id="12" w:name="_Toc207710341"/>
      <w:r w:rsidRPr="00C451C8">
        <w:rPr>
          <w:rFonts w:ascii="Aptos" w:hAnsi="Aptos"/>
        </w:rPr>
        <w:t>Introduction: the application process</w:t>
      </w:r>
      <w:bookmarkEnd w:id="10"/>
      <w:bookmarkEnd w:id="11"/>
      <w:bookmarkEnd w:id="12"/>
    </w:p>
    <w:p w14:paraId="688DDF30" w14:textId="77777777" w:rsidR="007737B5" w:rsidRPr="00C451C8" w:rsidRDefault="007737B5" w:rsidP="007737B5">
      <w:pPr>
        <w:pStyle w:val="Bodycopy"/>
        <w:rPr>
          <w:rFonts w:ascii="Aptos" w:eastAsia="Arial" w:hAnsi="Aptos"/>
          <w:lang w:eastAsia="en-US"/>
        </w:rPr>
      </w:pPr>
      <w:r w:rsidRPr="00C451C8">
        <w:rPr>
          <w:rFonts w:ascii="Aptos" w:eastAsia="Arial" w:hAnsi="Aptos"/>
          <w:lang w:eastAsia="en-US"/>
        </w:rPr>
        <w:t>This document is for Queensland Government Skills Assure Suppliers (SAS) to assist them in applying for Skills Disability Support (SDS) and to manage support provided. It should be read in conjunction with the:</w:t>
      </w:r>
    </w:p>
    <w:p w14:paraId="25B8104D" w14:textId="77777777" w:rsidR="007737B5" w:rsidRPr="00C451C8" w:rsidRDefault="007737B5" w:rsidP="007737B5">
      <w:pPr>
        <w:pStyle w:val="ListBullet"/>
        <w:rPr>
          <w:rFonts w:ascii="Aptos" w:eastAsia="Arial" w:hAnsi="Aptos" w:cs="Arial"/>
          <w:lang w:eastAsia="en-US"/>
        </w:rPr>
      </w:pPr>
      <w:hyperlink r:id="rId11" w:history="1">
        <w:r w:rsidRPr="00C451C8">
          <w:rPr>
            <w:rStyle w:val="Hyperlink"/>
            <w:rFonts w:ascii="Aptos" w:eastAsia="Arial" w:hAnsi="Aptos"/>
            <w:lang w:eastAsia="en-US"/>
          </w:rPr>
          <w:t>Skills Disability Support Guidelines</w:t>
        </w:r>
      </w:hyperlink>
      <w:r w:rsidRPr="00C451C8">
        <w:rPr>
          <w:rFonts w:ascii="Aptos" w:eastAsia="Arial" w:hAnsi="Aptos"/>
          <w:lang w:eastAsia="en-US"/>
        </w:rPr>
        <w:t>, which explain who is eligible to receive services, the type of services available and an overview of the technology loan and support services conditions</w:t>
      </w:r>
    </w:p>
    <w:p w14:paraId="215627FA" w14:textId="77777777" w:rsidR="007737B5" w:rsidRPr="00C451C8" w:rsidRDefault="007737B5" w:rsidP="007737B5">
      <w:pPr>
        <w:pStyle w:val="ListBullet"/>
        <w:rPr>
          <w:rFonts w:ascii="Aptos" w:eastAsia="Arial" w:hAnsi="Aptos"/>
          <w:lang w:eastAsia="en-US"/>
        </w:rPr>
      </w:pPr>
      <w:hyperlink r:id="rId12" w:history="1">
        <w:r w:rsidRPr="00C451C8">
          <w:rPr>
            <w:rStyle w:val="Hyperlink"/>
            <w:rFonts w:ascii="Aptos" w:eastAsia="Arial" w:hAnsi="Aptos"/>
            <w:bCs/>
            <w:lang w:eastAsia="en-US"/>
          </w:rPr>
          <w:t>Skills Disability Support Terms of Use</w:t>
        </w:r>
      </w:hyperlink>
      <w:r w:rsidRPr="00C451C8">
        <w:rPr>
          <w:rFonts w:ascii="Aptos" w:eastAsia="Arial" w:hAnsi="Aptos"/>
          <w:lang w:eastAsia="en-US"/>
        </w:rPr>
        <w:t>, which forms the agreement between users of SDS subsidised services and the Department of Employment, Small Business and Training (DESBT).</w:t>
      </w:r>
    </w:p>
    <w:p w14:paraId="014858AC" w14:textId="77777777" w:rsidR="007737B5" w:rsidRPr="00C451C8" w:rsidRDefault="007737B5" w:rsidP="007737B5">
      <w:pPr>
        <w:rPr>
          <w:rFonts w:ascii="Aptos" w:hAnsi="Aptos"/>
        </w:rPr>
      </w:pPr>
    </w:p>
    <w:p w14:paraId="51486AAC" w14:textId="77777777" w:rsidR="007737B5" w:rsidRPr="00C451C8" w:rsidRDefault="007737B5" w:rsidP="007737B5">
      <w:pPr>
        <w:pStyle w:val="Bodycopy"/>
        <w:rPr>
          <w:rFonts w:ascii="Aptos" w:eastAsia="Arial" w:hAnsi="Aptos"/>
          <w:lang w:eastAsia="en-US"/>
        </w:rPr>
      </w:pPr>
      <w:r w:rsidRPr="00C451C8">
        <w:rPr>
          <w:rFonts w:ascii="Aptos" w:eastAsia="Arial" w:hAnsi="Aptos"/>
          <w:lang w:eastAsia="en-US"/>
        </w:rPr>
        <w:t xml:space="preserve">Please contact SDS via </w:t>
      </w:r>
      <w:hyperlink r:id="rId13" w:history="1">
        <w:r w:rsidRPr="00C451C8">
          <w:rPr>
            <w:rStyle w:val="Hyperlink"/>
            <w:rFonts w:ascii="Aptos" w:eastAsia="Arial" w:hAnsi="Aptos" w:cs="Arial"/>
            <w:bCs/>
            <w:lang w:eastAsia="en-US"/>
          </w:rPr>
          <w:t>SkillsDisabilitySupport@desbt.qld.gov.au</w:t>
        </w:r>
      </w:hyperlink>
      <w:r w:rsidRPr="00C451C8">
        <w:rPr>
          <w:rFonts w:ascii="Aptos" w:eastAsia="Arial" w:hAnsi="Aptos"/>
          <w:lang w:eastAsia="en-US"/>
        </w:rPr>
        <w:t xml:space="preserve"> if you require any assistance with submitting or managing your application.</w:t>
      </w:r>
    </w:p>
    <w:p w14:paraId="62312D90" w14:textId="77777777" w:rsidR="007737B5" w:rsidRPr="00C451C8" w:rsidRDefault="007737B5" w:rsidP="007737B5">
      <w:pPr>
        <w:pStyle w:val="Bodycopy"/>
        <w:rPr>
          <w:rFonts w:ascii="Aptos" w:eastAsia="MS Mincho" w:hAnsi="Aptos"/>
          <w:lang w:eastAsia="en-US"/>
        </w:rPr>
      </w:pPr>
      <w:r w:rsidRPr="00C451C8">
        <w:rPr>
          <w:rFonts w:ascii="Aptos" w:hAnsi="Aptos"/>
          <w:lang w:eastAsia="en-US"/>
        </w:rPr>
        <w:t>There are four steps in the SDS application and support management process:</w:t>
      </w:r>
    </w:p>
    <w:p w14:paraId="13ADC86E" w14:textId="77777777" w:rsidR="007737B5" w:rsidRPr="00C451C8" w:rsidRDefault="007737B5" w:rsidP="007737B5">
      <w:pPr>
        <w:pStyle w:val="ListNumber2"/>
        <w:tabs>
          <w:tab w:val="clear" w:pos="643"/>
          <w:tab w:val="num" w:pos="360"/>
        </w:tabs>
        <w:ind w:left="360"/>
        <w:rPr>
          <w:rFonts w:ascii="Aptos" w:hAnsi="Aptos" w:cs="Arial"/>
          <w:lang w:eastAsia="en-US"/>
        </w:rPr>
      </w:pPr>
      <w:r w:rsidRPr="00C451C8">
        <w:rPr>
          <w:rFonts w:ascii="Aptos" w:hAnsi="Aptos"/>
          <w:lang w:eastAsia="en-US"/>
        </w:rPr>
        <w:t>Submit application</w:t>
      </w:r>
    </w:p>
    <w:p w14:paraId="0CEED2A5" w14:textId="77777777" w:rsidR="007737B5" w:rsidRPr="00C451C8" w:rsidRDefault="007737B5" w:rsidP="007737B5">
      <w:pPr>
        <w:pStyle w:val="ListNumber2"/>
        <w:tabs>
          <w:tab w:val="clear" w:pos="643"/>
          <w:tab w:val="num" w:pos="360"/>
        </w:tabs>
        <w:ind w:left="360"/>
        <w:rPr>
          <w:rFonts w:ascii="Aptos" w:hAnsi="Aptos"/>
          <w:lang w:eastAsia="en-US"/>
        </w:rPr>
      </w:pPr>
      <w:r w:rsidRPr="00C451C8">
        <w:rPr>
          <w:rFonts w:ascii="Aptos" w:hAnsi="Aptos"/>
          <w:lang w:eastAsia="en-US"/>
        </w:rPr>
        <w:t>Implement approved services (funding provided as a one-off, upfront grant payment)</w:t>
      </w:r>
    </w:p>
    <w:p w14:paraId="4113BDA3" w14:textId="77777777" w:rsidR="007737B5" w:rsidRPr="00C451C8" w:rsidRDefault="007737B5" w:rsidP="007737B5">
      <w:pPr>
        <w:pStyle w:val="ListNumber2"/>
        <w:tabs>
          <w:tab w:val="clear" w:pos="643"/>
          <w:tab w:val="num" w:pos="360"/>
        </w:tabs>
        <w:ind w:left="360"/>
        <w:rPr>
          <w:rFonts w:ascii="Aptos" w:hAnsi="Aptos"/>
          <w:lang w:eastAsia="en-US"/>
        </w:rPr>
      </w:pPr>
      <w:r w:rsidRPr="00C451C8">
        <w:rPr>
          <w:rFonts w:ascii="Aptos" w:hAnsi="Aptos"/>
          <w:lang w:eastAsia="en-US"/>
        </w:rPr>
        <w:t>Submit Bi-annual reporting</w:t>
      </w:r>
    </w:p>
    <w:p w14:paraId="2D5EEACF" w14:textId="77777777" w:rsidR="007737B5" w:rsidRPr="00C451C8" w:rsidRDefault="007737B5" w:rsidP="007737B5">
      <w:pPr>
        <w:pStyle w:val="ListNumber2"/>
        <w:tabs>
          <w:tab w:val="clear" w:pos="643"/>
          <w:tab w:val="num" w:pos="360"/>
        </w:tabs>
        <w:ind w:left="360"/>
        <w:rPr>
          <w:rFonts w:ascii="Aptos" w:hAnsi="Aptos"/>
          <w:lang w:eastAsia="en-US"/>
        </w:rPr>
      </w:pPr>
      <w:r w:rsidRPr="00C451C8">
        <w:rPr>
          <w:rFonts w:ascii="Aptos" w:hAnsi="Aptos"/>
          <w:lang w:eastAsia="en-US"/>
        </w:rPr>
        <w:t>Finalise application (acquittal/return of any unexpended funds)</w:t>
      </w:r>
    </w:p>
    <w:p w14:paraId="2D62E3D0" w14:textId="77777777" w:rsidR="007737B5" w:rsidRPr="00C451C8" w:rsidRDefault="007737B5" w:rsidP="007737B5">
      <w:pPr>
        <w:pStyle w:val="ListNumber2"/>
        <w:numPr>
          <w:ilvl w:val="0"/>
          <w:numId w:val="0"/>
        </w:numPr>
        <w:ind w:left="360" w:hanging="360"/>
        <w:rPr>
          <w:rFonts w:ascii="Aptos" w:hAnsi="Aptos"/>
          <w:lang w:eastAsia="en-US"/>
        </w:rPr>
      </w:pPr>
    </w:p>
    <w:p w14:paraId="45CA6985" w14:textId="77777777" w:rsidR="007737B5" w:rsidRPr="00C451C8" w:rsidRDefault="007737B5" w:rsidP="007737B5">
      <w:pPr>
        <w:pStyle w:val="ListNumber2"/>
        <w:numPr>
          <w:ilvl w:val="0"/>
          <w:numId w:val="0"/>
        </w:numPr>
        <w:ind w:left="360" w:hanging="360"/>
        <w:rPr>
          <w:rFonts w:ascii="Aptos" w:hAnsi="Aptos"/>
          <w:lang w:eastAsia="en-US"/>
        </w:rPr>
      </w:pPr>
    </w:p>
    <w:p w14:paraId="013EEDAF" w14:textId="77777777" w:rsidR="007737B5" w:rsidRPr="00C451C8" w:rsidRDefault="007737B5" w:rsidP="007737B5">
      <w:pPr>
        <w:pStyle w:val="ListNumber2"/>
        <w:numPr>
          <w:ilvl w:val="0"/>
          <w:numId w:val="0"/>
        </w:numPr>
        <w:ind w:left="360" w:hanging="360"/>
        <w:rPr>
          <w:rFonts w:ascii="Aptos" w:hAnsi="Aptos"/>
          <w:lang w:eastAsia="en-US"/>
        </w:rPr>
      </w:pPr>
    </w:p>
    <w:p w14:paraId="6631084C" w14:textId="77777777" w:rsidR="007737B5" w:rsidRPr="00C451C8" w:rsidRDefault="007737B5" w:rsidP="007737B5">
      <w:pPr>
        <w:pStyle w:val="ListNumber2"/>
        <w:numPr>
          <w:ilvl w:val="0"/>
          <w:numId w:val="0"/>
        </w:numPr>
        <w:ind w:left="360" w:hanging="360"/>
        <w:rPr>
          <w:rFonts w:ascii="Aptos" w:hAnsi="Aptos"/>
          <w:lang w:eastAsia="en-US"/>
        </w:rPr>
      </w:pPr>
    </w:p>
    <w:p w14:paraId="02182E85" w14:textId="77777777" w:rsidR="007737B5" w:rsidRPr="00C451C8" w:rsidRDefault="007737B5" w:rsidP="007737B5">
      <w:pPr>
        <w:pStyle w:val="ListNumber2"/>
        <w:numPr>
          <w:ilvl w:val="0"/>
          <w:numId w:val="0"/>
        </w:numPr>
        <w:ind w:left="360" w:hanging="360"/>
        <w:rPr>
          <w:rFonts w:ascii="Aptos" w:hAnsi="Aptos"/>
          <w:lang w:eastAsia="en-US"/>
        </w:rPr>
      </w:pPr>
    </w:p>
    <w:p w14:paraId="74BD5A43" w14:textId="77777777" w:rsidR="007737B5" w:rsidRPr="00C451C8" w:rsidRDefault="007737B5" w:rsidP="007737B5">
      <w:pPr>
        <w:pStyle w:val="ListNumber2"/>
        <w:numPr>
          <w:ilvl w:val="0"/>
          <w:numId w:val="0"/>
        </w:numPr>
        <w:ind w:left="360" w:hanging="360"/>
        <w:rPr>
          <w:rFonts w:ascii="Aptos" w:hAnsi="Aptos"/>
          <w:lang w:eastAsia="en-US"/>
        </w:rPr>
      </w:pPr>
    </w:p>
    <w:p w14:paraId="1F3CB428" w14:textId="77777777" w:rsidR="007737B5" w:rsidRPr="00C451C8" w:rsidRDefault="007737B5" w:rsidP="007737B5">
      <w:pPr>
        <w:pStyle w:val="ListNumber2"/>
        <w:numPr>
          <w:ilvl w:val="0"/>
          <w:numId w:val="0"/>
        </w:numPr>
        <w:ind w:left="360" w:hanging="360"/>
        <w:rPr>
          <w:rFonts w:ascii="Aptos" w:hAnsi="Aptos"/>
          <w:lang w:eastAsia="en-US"/>
        </w:rPr>
      </w:pPr>
    </w:p>
    <w:p w14:paraId="76D817A7" w14:textId="77777777" w:rsidR="007737B5" w:rsidRPr="00C451C8" w:rsidRDefault="007737B5" w:rsidP="007737B5">
      <w:pPr>
        <w:pStyle w:val="ListNumber2"/>
        <w:numPr>
          <w:ilvl w:val="0"/>
          <w:numId w:val="0"/>
        </w:numPr>
        <w:ind w:left="360" w:hanging="360"/>
        <w:rPr>
          <w:rFonts w:ascii="Aptos" w:hAnsi="Aptos"/>
          <w:lang w:eastAsia="en-US"/>
        </w:rPr>
      </w:pPr>
    </w:p>
    <w:p w14:paraId="5B10598D" w14:textId="77777777" w:rsidR="007737B5" w:rsidRPr="00C451C8" w:rsidRDefault="007737B5" w:rsidP="007737B5">
      <w:pPr>
        <w:pStyle w:val="ListNumber2"/>
        <w:numPr>
          <w:ilvl w:val="0"/>
          <w:numId w:val="0"/>
        </w:numPr>
        <w:ind w:left="360" w:hanging="360"/>
        <w:rPr>
          <w:rFonts w:ascii="Aptos" w:hAnsi="Aptos"/>
          <w:lang w:eastAsia="en-US"/>
        </w:rPr>
      </w:pPr>
    </w:p>
    <w:p w14:paraId="1D48680B" w14:textId="77777777" w:rsidR="007737B5" w:rsidRPr="00C451C8" w:rsidRDefault="007737B5" w:rsidP="007737B5">
      <w:pPr>
        <w:pStyle w:val="ListNumber2"/>
        <w:numPr>
          <w:ilvl w:val="0"/>
          <w:numId w:val="0"/>
        </w:numPr>
        <w:ind w:left="360" w:hanging="360"/>
        <w:rPr>
          <w:rFonts w:ascii="Aptos" w:hAnsi="Aptos"/>
          <w:lang w:eastAsia="en-US"/>
        </w:rPr>
      </w:pPr>
    </w:p>
    <w:p w14:paraId="7DCC1E19" w14:textId="77777777" w:rsidR="007737B5" w:rsidRPr="00C451C8" w:rsidRDefault="007737B5" w:rsidP="007737B5">
      <w:pPr>
        <w:pStyle w:val="ListNumber2"/>
        <w:numPr>
          <w:ilvl w:val="0"/>
          <w:numId w:val="0"/>
        </w:numPr>
        <w:ind w:left="360" w:hanging="360"/>
        <w:rPr>
          <w:rFonts w:ascii="Aptos" w:hAnsi="Aptos"/>
          <w:lang w:eastAsia="en-US"/>
        </w:rPr>
      </w:pPr>
    </w:p>
    <w:p w14:paraId="1AAB9673" w14:textId="77777777" w:rsidR="007737B5" w:rsidRPr="00C451C8" w:rsidRDefault="007737B5" w:rsidP="007737B5">
      <w:pPr>
        <w:pStyle w:val="ListNumber2"/>
        <w:numPr>
          <w:ilvl w:val="0"/>
          <w:numId w:val="0"/>
        </w:numPr>
        <w:ind w:left="360" w:hanging="360"/>
        <w:rPr>
          <w:rFonts w:ascii="Aptos" w:hAnsi="Aptos"/>
          <w:lang w:eastAsia="en-US"/>
        </w:rPr>
      </w:pPr>
    </w:p>
    <w:p w14:paraId="43B78CDF" w14:textId="77777777" w:rsidR="007737B5" w:rsidRPr="00C451C8" w:rsidRDefault="007737B5" w:rsidP="007737B5">
      <w:pPr>
        <w:pStyle w:val="ListNumber2"/>
        <w:numPr>
          <w:ilvl w:val="0"/>
          <w:numId w:val="0"/>
        </w:numPr>
        <w:ind w:left="360" w:hanging="360"/>
        <w:rPr>
          <w:rFonts w:ascii="Aptos" w:hAnsi="Aptos"/>
          <w:lang w:eastAsia="en-US"/>
        </w:rPr>
      </w:pPr>
    </w:p>
    <w:p w14:paraId="73A431B5" w14:textId="77777777" w:rsidR="007737B5" w:rsidRPr="00C451C8" w:rsidRDefault="007737B5" w:rsidP="007737B5">
      <w:pPr>
        <w:pStyle w:val="ListNumber2"/>
        <w:numPr>
          <w:ilvl w:val="0"/>
          <w:numId w:val="0"/>
        </w:numPr>
        <w:ind w:left="360" w:hanging="360"/>
        <w:rPr>
          <w:rFonts w:ascii="Aptos" w:hAnsi="Aptos"/>
          <w:lang w:eastAsia="en-US"/>
        </w:rPr>
      </w:pPr>
    </w:p>
    <w:p w14:paraId="7D13DFC4" w14:textId="77777777" w:rsidR="007737B5" w:rsidRPr="00C451C8" w:rsidRDefault="007737B5" w:rsidP="007737B5">
      <w:pPr>
        <w:pStyle w:val="ListNumber2"/>
        <w:numPr>
          <w:ilvl w:val="0"/>
          <w:numId w:val="0"/>
        </w:numPr>
        <w:ind w:left="360" w:hanging="360"/>
        <w:rPr>
          <w:rFonts w:ascii="Aptos" w:hAnsi="Aptos"/>
          <w:lang w:eastAsia="en-US"/>
        </w:rPr>
      </w:pPr>
    </w:p>
    <w:p w14:paraId="7E7C5B82" w14:textId="77777777" w:rsidR="007737B5" w:rsidRPr="00C451C8" w:rsidRDefault="007737B5" w:rsidP="007737B5">
      <w:pPr>
        <w:pStyle w:val="ListNumber2"/>
        <w:numPr>
          <w:ilvl w:val="0"/>
          <w:numId w:val="0"/>
        </w:numPr>
        <w:ind w:left="360" w:hanging="360"/>
        <w:rPr>
          <w:rFonts w:ascii="Aptos" w:hAnsi="Aptos"/>
          <w:lang w:eastAsia="en-US"/>
        </w:rPr>
      </w:pPr>
    </w:p>
    <w:p w14:paraId="03CF8D6E" w14:textId="77777777" w:rsidR="007737B5" w:rsidRPr="00C451C8" w:rsidRDefault="007737B5" w:rsidP="007737B5">
      <w:pPr>
        <w:pStyle w:val="ListNumber2"/>
        <w:numPr>
          <w:ilvl w:val="0"/>
          <w:numId w:val="0"/>
        </w:numPr>
        <w:ind w:left="360" w:hanging="360"/>
        <w:rPr>
          <w:rFonts w:ascii="Aptos" w:hAnsi="Aptos"/>
          <w:lang w:eastAsia="en-US"/>
        </w:rPr>
      </w:pPr>
    </w:p>
    <w:p w14:paraId="4C716A89" w14:textId="77777777" w:rsidR="007737B5" w:rsidRPr="00C451C8" w:rsidRDefault="007737B5" w:rsidP="007737B5">
      <w:pPr>
        <w:pStyle w:val="ListNumber2"/>
        <w:numPr>
          <w:ilvl w:val="0"/>
          <w:numId w:val="0"/>
        </w:numPr>
        <w:ind w:left="360" w:hanging="360"/>
        <w:rPr>
          <w:rFonts w:ascii="Aptos" w:hAnsi="Aptos"/>
          <w:lang w:eastAsia="en-US"/>
        </w:rPr>
      </w:pPr>
    </w:p>
    <w:p w14:paraId="3610DEBD" w14:textId="77777777" w:rsidR="007737B5" w:rsidRPr="00C451C8" w:rsidRDefault="007737B5" w:rsidP="007737B5">
      <w:pPr>
        <w:pStyle w:val="ListNumber2"/>
        <w:numPr>
          <w:ilvl w:val="0"/>
          <w:numId w:val="0"/>
        </w:numPr>
        <w:ind w:left="360" w:hanging="360"/>
        <w:rPr>
          <w:rFonts w:ascii="Aptos" w:hAnsi="Aptos"/>
          <w:lang w:eastAsia="en-US"/>
        </w:rPr>
      </w:pPr>
    </w:p>
    <w:p w14:paraId="403DD1C0" w14:textId="77777777" w:rsidR="007737B5" w:rsidRDefault="007737B5" w:rsidP="007737B5">
      <w:pPr>
        <w:pStyle w:val="ListNumber2"/>
        <w:numPr>
          <w:ilvl w:val="0"/>
          <w:numId w:val="0"/>
        </w:numPr>
        <w:ind w:left="360" w:hanging="360"/>
        <w:rPr>
          <w:rFonts w:ascii="Aptos" w:hAnsi="Aptos"/>
          <w:lang w:eastAsia="en-US"/>
        </w:rPr>
      </w:pPr>
    </w:p>
    <w:p w14:paraId="37732EC0" w14:textId="77777777" w:rsidR="00C451C8" w:rsidRDefault="00C451C8" w:rsidP="007737B5">
      <w:pPr>
        <w:pStyle w:val="ListNumber2"/>
        <w:numPr>
          <w:ilvl w:val="0"/>
          <w:numId w:val="0"/>
        </w:numPr>
        <w:ind w:left="360" w:hanging="360"/>
        <w:rPr>
          <w:rFonts w:ascii="Aptos" w:hAnsi="Aptos"/>
          <w:lang w:eastAsia="en-US"/>
        </w:rPr>
      </w:pPr>
    </w:p>
    <w:p w14:paraId="097E07D6" w14:textId="77777777" w:rsidR="00C451C8" w:rsidRDefault="00C451C8" w:rsidP="007737B5">
      <w:pPr>
        <w:pStyle w:val="ListNumber2"/>
        <w:numPr>
          <w:ilvl w:val="0"/>
          <w:numId w:val="0"/>
        </w:numPr>
        <w:ind w:left="360" w:hanging="360"/>
        <w:rPr>
          <w:rFonts w:ascii="Aptos" w:hAnsi="Aptos"/>
          <w:lang w:eastAsia="en-US"/>
        </w:rPr>
      </w:pPr>
    </w:p>
    <w:p w14:paraId="7DEC3BBD" w14:textId="77777777" w:rsidR="00C451C8" w:rsidRDefault="00C451C8" w:rsidP="007737B5">
      <w:pPr>
        <w:pStyle w:val="ListNumber2"/>
        <w:numPr>
          <w:ilvl w:val="0"/>
          <w:numId w:val="0"/>
        </w:numPr>
        <w:ind w:left="360" w:hanging="360"/>
        <w:rPr>
          <w:rFonts w:ascii="Aptos" w:hAnsi="Aptos"/>
          <w:lang w:eastAsia="en-US"/>
        </w:rPr>
      </w:pPr>
    </w:p>
    <w:p w14:paraId="12B92892" w14:textId="77777777" w:rsidR="00C451C8" w:rsidRDefault="00C451C8" w:rsidP="007737B5">
      <w:pPr>
        <w:pStyle w:val="ListNumber2"/>
        <w:numPr>
          <w:ilvl w:val="0"/>
          <w:numId w:val="0"/>
        </w:numPr>
        <w:ind w:left="360" w:hanging="360"/>
        <w:rPr>
          <w:rFonts w:ascii="Aptos" w:hAnsi="Aptos"/>
          <w:lang w:eastAsia="en-US"/>
        </w:rPr>
      </w:pPr>
    </w:p>
    <w:p w14:paraId="4CA8285E" w14:textId="77777777" w:rsidR="00C451C8" w:rsidRDefault="00C451C8" w:rsidP="007737B5">
      <w:pPr>
        <w:pStyle w:val="ListNumber2"/>
        <w:numPr>
          <w:ilvl w:val="0"/>
          <w:numId w:val="0"/>
        </w:numPr>
        <w:ind w:left="360" w:hanging="360"/>
        <w:rPr>
          <w:rFonts w:ascii="Aptos" w:hAnsi="Aptos"/>
          <w:lang w:eastAsia="en-US"/>
        </w:rPr>
      </w:pPr>
    </w:p>
    <w:p w14:paraId="1222401C" w14:textId="77777777" w:rsidR="00C451C8" w:rsidRPr="00C451C8" w:rsidRDefault="00C451C8" w:rsidP="007737B5">
      <w:pPr>
        <w:pStyle w:val="ListNumber2"/>
        <w:numPr>
          <w:ilvl w:val="0"/>
          <w:numId w:val="0"/>
        </w:numPr>
        <w:ind w:left="360" w:hanging="360"/>
        <w:rPr>
          <w:rFonts w:ascii="Aptos" w:hAnsi="Aptos"/>
          <w:lang w:eastAsia="en-US"/>
        </w:rPr>
      </w:pPr>
    </w:p>
    <w:p w14:paraId="1EA48B78" w14:textId="77777777" w:rsidR="007737B5" w:rsidRPr="00C451C8" w:rsidRDefault="007737B5" w:rsidP="007737B5">
      <w:pPr>
        <w:pStyle w:val="Heading1"/>
        <w:numPr>
          <w:ilvl w:val="0"/>
          <w:numId w:val="26"/>
        </w:numPr>
        <w:tabs>
          <w:tab w:val="num" w:pos="851"/>
        </w:tabs>
        <w:ind w:left="851" w:hanging="851"/>
        <w:rPr>
          <w:rFonts w:ascii="Aptos" w:hAnsi="Aptos"/>
        </w:rPr>
      </w:pPr>
      <w:bookmarkStart w:id="13" w:name="_Toc468355172"/>
      <w:bookmarkStart w:id="14" w:name="_Toc422746454"/>
      <w:bookmarkStart w:id="15" w:name="_Toc2164239"/>
      <w:bookmarkStart w:id="16" w:name="_Toc207710342"/>
      <w:r w:rsidRPr="00C451C8">
        <w:rPr>
          <w:rFonts w:ascii="Aptos" w:hAnsi="Aptos"/>
        </w:rPr>
        <w:t>Submit application</w:t>
      </w:r>
      <w:bookmarkEnd w:id="13"/>
      <w:bookmarkEnd w:id="14"/>
      <w:bookmarkEnd w:id="15"/>
      <w:bookmarkEnd w:id="16"/>
    </w:p>
    <w:p w14:paraId="29873078" w14:textId="77777777" w:rsidR="007737B5" w:rsidRPr="00C451C8" w:rsidRDefault="007737B5" w:rsidP="007737B5">
      <w:pPr>
        <w:pStyle w:val="Bodycopy"/>
        <w:rPr>
          <w:rFonts w:ascii="Aptos" w:eastAsia="Arial" w:hAnsi="Aptos"/>
          <w:sz w:val="24"/>
          <w:szCs w:val="20"/>
          <w:lang w:eastAsia="en-US"/>
        </w:rPr>
      </w:pPr>
      <w:r w:rsidRPr="00C451C8">
        <w:rPr>
          <w:rFonts w:ascii="Aptos" w:eastAsia="Arial" w:hAnsi="Aptos"/>
          <w:lang w:eastAsia="en-US"/>
        </w:rPr>
        <w:t>Refer to</w:t>
      </w:r>
      <w:r w:rsidRPr="00C451C8">
        <w:rPr>
          <w:rFonts w:ascii="Aptos" w:eastAsia="Arial" w:hAnsi="Aptos"/>
          <w:b/>
          <w:lang w:eastAsia="en-US"/>
        </w:rPr>
        <w:t xml:space="preserve"> Appendix 1 </w:t>
      </w:r>
      <w:r w:rsidRPr="00C451C8">
        <w:rPr>
          <w:rFonts w:ascii="Aptos" w:eastAsia="Arial" w:hAnsi="Aptos"/>
          <w:lang w:eastAsia="en-US"/>
        </w:rPr>
        <w:t>for a visual summary of this step.</w:t>
      </w:r>
    </w:p>
    <w:p w14:paraId="425B3613" w14:textId="77777777" w:rsidR="007737B5" w:rsidRPr="00C451C8" w:rsidRDefault="007737B5" w:rsidP="007737B5">
      <w:pPr>
        <w:pStyle w:val="Heading2"/>
        <w:numPr>
          <w:ilvl w:val="1"/>
          <w:numId w:val="26"/>
        </w:numPr>
        <w:tabs>
          <w:tab w:val="num" w:pos="851"/>
        </w:tabs>
        <w:ind w:left="851" w:hanging="851"/>
        <w:rPr>
          <w:rFonts w:ascii="Aptos" w:eastAsia="MS Gothic" w:hAnsi="Aptos"/>
        </w:rPr>
      </w:pPr>
      <w:bookmarkStart w:id="17" w:name="_Toc468355173"/>
      <w:bookmarkStart w:id="18" w:name="_Toc2164240"/>
      <w:bookmarkStart w:id="19" w:name="_Toc207710343"/>
      <w:r w:rsidRPr="00C451C8">
        <w:rPr>
          <w:rFonts w:ascii="Aptos" w:hAnsi="Aptos"/>
        </w:rPr>
        <w:t>New applications</w:t>
      </w:r>
      <w:bookmarkEnd w:id="17"/>
      <w:bookmarkEnd w:id="18"/>
      <w:bookmarkEnd w:id="19"/>
    </w:p>
    <w:p w14:paraId="40363F82" w14:textId="77777777" w:rsidR="007737B5" w:rsidRPr="00C451C8" w:rsidRDefault="007737B5" w:rsidP="007737B5">
      <w:pPr>
        <w:pStyle w:val="ListBullet"/>
        <w:rPr>
          <w:rFonts w:ascii="Aptos" w:hAnsi="Aptos"/>
        </w:rPr>
      </w:pPr>
      <w:r w:rsidRPr="00C451C8">
        <w:rPr>
          <w:rFonts w:ascii="Aptos" w:eastAsia="Arial" w:hAnsi="Aptos"/>
          <w:bCs/>
          <w:lang w:eastAsia="en-US"/>
        </w:rPr>
        <w:t xml:space="preserve">The </w:t>
      </w:r>
      <w:hyperlink r:id="rId14" w:history="1">
        <w:r w:rsidRPr="00C451C8">
          <w:rPr>
            <w:rStyle w:val="Hyperlink"/>
            <w:rFonts w:ascii="Aptos" w:hAnsi="Aptos"/>
          </w:rPr>
          <w:t>SDS application form</w:t>
        </w:r>
      </w:hyperlink>
      <w:r w:rsidRPr="00C451C8">
        <w:rPr>
          <w:rFonts w:ascii="Aptos" w:eastAsia="Arial" w:hAnsi="Aptos"/>
          <w:bCs/>
          <w:lang w:eastAsia="en-US"/>
        </w:rPr>
        <w:t xml:space="preserve"> </w:t>
      </w:r>
      <w:r w:rsidRPr="00C451C8">
        <w:rPr>
          <w:rFonts w:ascii="Aptos" w:hAnsi="Aptos"/>
        </w:rPr>
        <w:t xml:space="preserve">can be downloaded from the DESBT website. </w:t>
      </w:r>
    </w:p>
    <w:p w14:paraId="7C2F3870" w14:textId="77777777" w:rsidR="007737B5" w:rsidRPr="00C451C8" w:rsidRDefault="007737B5" w:rsidP="007737B5">
      <w:pPr>
        <w:pStyle w:val="ListBullet"/>
        <w:rPr>
          <w:rFonts w:ascii="Aptos" w:eastAsia="Arial" w:hAnsi="Aptos"/>
          <w:bCs/>
          <w:lang w:eastAsia="en-US"/>
        </w:rPr>
      </w:pPr>
      <w:r w:rsidRPr="00C451C8">
        <w:rPr>
          <w:rFonts w:ascii="Aptos" w:hAnsi="Aptos"/>
        </w:rPr>
        <w:t>An application form is required for each student seeking subsidised support.</w:t>
      </w:r>
    </w:p>
    <w:p w14:paraId="3A951534" w14:textId="77777777" w:rsidR="007737B5" w:rsidRPr="00C451C8" w:rsidRDefault="007737B5" w:rsidP="007737B5">
      <w:pPr>
        <w:pStyle w:val="ListBullet"/>
        <w:rPr>
          <w:rFonts w:ascii="Aptos" w:eastAsia="SimSun" w:hAnsi="Aptos"/>
          <w:lang w:eastAsia="en-US"/>
        </w:rPr>
      </w:pPr>
      <w:r w:rsidRPr="00C451C8">
        <w:rPr>
          <w:rFonts w:ascii="Aptos" w:hAnsi="Aptos"/>
          <w:lang w:eastAsia="en-US"/>
        </w:rPr>
        <w:t>Applications should relate to the student’s current program of study and identify subsidised support needs from the date of application or future support commencement date.</w:t>
      </w:r>
    </w:p>
    <w:p w14:paraId="045B30C1" w14:textId="77777777" w:rsidR="007737B5" w:rsidRPr="00C451C8" w:rsidRDefault="007737B5" w:rsidP="007737B5">
      <w:pPr>
        <w:pStyle w:val="ListBullet"/>
        <w:rPr>
          <w:rFonts w:ascii="Aptos" w:eastAsia="SimSun" w:hAnsi="Aptos"/>
          <w:lang w:eastAsia="en-US"/>
        </w:rPr>
      </w:pPr>
      <w:r w:rsidRPr="00C451C8">
        <w:rPr>
          <w:rFonts w:ascii="Aptos" w:hAnsi="Aptos"/>
          <w:lang w:eastAsia="en-US"/>
        </w:rPr>
        <w:t xml:space="preserve">Backdating of support is permitted up to 8 weeks. </w:t>
      </w:r>
    </w:p>
    <w:p w14:paraId="396A0CD1" w14:textId="77777777" w:rsidR="007737B5" w:rsidRPr="00C451C8" w:rsidRDefault="007737B5" w:rsidP="007737B5">
      <w:pPr>
        <w:pStyle w:val="ListBullet"/>
        <w:rPr>
          <w:rFonts w:ascii="Aptos" w:hAnsi="Aptos"/>
          <w:lang w:eastAsia="zh-CN"/>
        </w:rPr>
      </w:pPr>
      <w:r w:rsidRPr="00C451C8">
        <w:rPr>
          <w:rFonts w:ascii="Aptos" w:hAnsi="Aptos"/>
        </w:rPr>
        <w:t>Prior to applying, student eligibility should be determined. Students must:</w:t>
      </w:r>
    </w:p>
    <w:p w14:paraId="347A8A50" w14:textId="77777777" w:rsidR="007737B5" w:rsidRPr="00C451C8" w:rsidRDefault="007737B5" w:rsidP="007737B5">
      <w:pPr>
        <w:pStyle w:val="ListBullet"/>
        <w:numPr>
          <w:ilvl w:val="1"/>
          <w:numId w:val="1"/>
        </w:numPr>
        <w:rPr>
          <w:rFonts w:ascii="Aptos" w:hAnsi="Aptos"/>
        </w:rPr>
      </w:pPr>
      <w:r w:rsidRPr="00C451C8">
        <w:rPr>
          <w:rFonts w:ascii="Aptos" w:hAnsi="Aptos"/>
        </w:rPr>
        <w:t xml:space="preserve">have an identified disability </w:t>
      </w:r>
    </w:p>
    <w:p w14:paraId="5C18F77A" w14:textId="77777777" w:rsidR="007737B5" w:rsidRPr="00C451C8" w:rsidRDefault="007737B5" w:rsidP="007737B5">
      <w:pPr>
        <w:pStyle w:val="ListBullet"/>
        <w:numPr>
          <w:ilvl w:val="1"/>
          <w:numId w:val="1"/>
        </w:numPr>
        <w:rPr>
          <w:rFonts w:ascii="Aptos" w:hAnsi="Aptos"/>
        </w:rPr>
      </w:pPr>
      <w:r w:rsidRPr="00C451C8">
        <w:rPr>
          <w:rFonts w:ascii="Aptos" w:hAnsi="Aptos"/>
        </w:rPr>
        <w:t>be 15 years or over, undertaking DESBT subsidised training and not be a school student</w:t>
      </w:r>
    </w:p>
    <w:p w14:paraId="44DAEA0C" w14:textId="77777777" w:rsidR="007737B5" w:rsidRPr="00C451C8" w:rsidRDefault="007737B5" w:rsidP="007737B5">
      <w:pPr>
        <w:pStyle w:val="ListBullet"/>
        <w:numPr>
          <w:ilvl w:val="1"/>
          <w:numId w:val="1"/>
        </w:numPr>
        <w:rPr>
          <w:rFonts w:ascii="Aptos" w:hAnsi="Aptos"/>
        </w:rPr>
      </w:pPr>
      <w:r w:rsidRPr="00C451C8">
        <w:rPr>
          <w:rFonts w:ascii="Aptos" w:hAnsi="Aptos"/>
        </w:rPr>
        <w:t xml:space="preserve">not be eligible to receive the same resources through other programs, initiatives or services. </w:t>
      </w:r>
    </w:p>
    <w:p w14:paraId="1D51A953" w14:textId="77777777" w:rsidR="007737B5" w:rsidRPr="00C451C8" w:rsidRDefault="007737B5" w:rsidP="007737B5">
      <w:pPr>
        <w:pStyle w:val="ListBullet"/>
        <w:rPr>
          <w:rFonts w:ascii="Aptos" w:hAnsi="Aptos"/>
        </w:rPr>
      </w:pPr>
      <w:r w:rsidRPr="00C451C8">
        <w:rPr>
          <w:rFonts w:ascii="Aptos" w:hAnsi="Aptos"/>
        </w:rPr>
        <w:t xml:space="preserve">All students with disability are eligible to apply for SDS subsidised support if they meet the above criteria. This includes students in receipt of a package under the National Disability Insurance Scheme (NDIS). </w:t>
      </w:r>
    </w:p>
    <w:p w14:paraId="60D99C42" w14:textId="77777777" w:rsidR="007737B5" w:rsidRPr="00C451C8" w:rsidRDefault="007737B5" w:rsidP="007737B5">
      <w:pPr>
        <w:pStyle w:val="ListNumber2"/>
        <w:numPr>
          <w:ilvl w:val="0"/>
          <w:numId w:val="0"/>
        </w:numPr>
        <w:ind w:left="360" w:hanging="360"/>
        <w:rPr>
          <w:rFonts w:ascii="Aptos" w:hAnsi="Aptos"/>
          <w:lang w:eastAsia="en-US"/>
        </w:rPr>
      </w:pPr>
    </w:p>
    <w:p w14:paraId="174C7848" w14:textId="77777777" w:rsidR="007737B5" w:rsidRPr="00C451C8" w:rsidRDefault="007737B5" w:rsidP="007737B5">
      <w:pPr>
        <w:pStyle w:val="Heading2"/>
        <w:numPr>
          <w:ilvl w:val="1"/>
          <w:numId w:val="26"/>
        </w:numPr>
        <w:tabs>
          <w:tab w:val="num" w:pos="851"/>
        </w:tabs>
        <w:ind w:left="851" w:hanging="851"/>
        <w:rPr>
          <w:rFonts w:ascii="Aptos" w:eastAsia="MS Gothic" w:hAnsi="Aptos"/>
        </w:rPr>
      </w:pPr>
      <w:bookmarkStart w:id="20" w:name="_Toc468355174"/>
      <w:bookmarkStart w:id="21" w:name="_Toc2164241"/>
      <w:bookmarkStart w:id="22" w:name="_Toc207710344"/>
      <w:r w:rsidRPr="00C451C8">
        <w:rPr>
          <w:rFonts w:ascii="Aptos" w:hAnsi="Aptos"/>
        </w:rPr>
        <w:t>Completing the application form</w:t>
      </w:r>
      <w:bookmarkEnd w:id="20"/>
      <w:bookmarkEnd w:id="21"/>
      <w:bookmarkEnd w:id="22"/>
    </w:p>
    <w:p w14:paraId="6BAF0FA3" w14:textId="2B366154" w:rsidR="007737B5" w:rsidRPr="00C451C8" w:rsidRDefault="007737B5" w:rsidP="007737B5">
      <w:pPr>
        <w:pStyle w:val="ListBullet"/>
        <w:rPr>
          <w:rFonts w:ascii="Aptos" w:hAnsi="Aptos"/>
          <w:lang w:eastAsia="en-US"/>
        </w:rPr>
      </w:pPr>
      <w:r w:rsidRPr="00C451C8">
        <w:rPr>
          <w:rFonts w:ascii="Aptos" w:hAnsi="Aptos"/>
          <w:lang w:eastAsia="en-US"/>
        </w:rPr>
        <w:t xml:space="preserve">Refer to </w:t>
      </w:r>
      <w:r w:rsidRPr="00C451C8">
        <w:rPr>
          <w:rFonts w:ascii="Aptos" w:hAnsi="Aptos"/>
          <w:b/>
          <w:lang w:eastAsia="en-US"/>
        </w:rPr>
        <w:t xml:space="preserve">Section 4 </w:t>
      </w:r>
      <w:r w:rsidRPr="00C451C8">
        <w:rPr>
          <w:rFonts w:ascii="Aptos" w:hAnsi="Aptos"/>
          <w:lang w:eastAsia="en-US"/>
        </w:rPr>
        <w:t>for details on how to complete the Evidence of need statement.</w:t>
      </w:r>
    </w:p>
    <w:p w14:paraId="35F7C3DF" w14:textId="77777777" w:rsidR="007737B5" w:rsidRPr="00C451C8" w:rsidRDefault="007737B5" w:rsidP="007737B5">
      <w:pPr>
        <w:pStyle w:val="ListBullet"/>
        <w:rPr>
          <w:rFonts w:ascii="Aptos" w:hAnsi="Aptos"/>
          <w:lang w:eastAsia="en-US"/>
        </w:rPr>
      </w:pPr>
      <w:r w:rsidRPr="00C451C8">
        <w:rPr>
          <w:rFonts w:ascii="Aptos" w:hAnsi="Aptos"/>
          <w:lang w:eastAsia="en-US"/>
        </w:rPr>
        <w:t xml:space="preserve">Services are provided as reasonable adjustment to the student. Administration, coordination, staff induction, professional development, infrastructure, accessibility of learning resources and systems, general health or care, general foundation skills </w:t>
      </w:r>
      <w:proofErr w:type="gramStart"/>
      <w:r w:rsidRPr="00C451C8">
        <w:rPr>
          <w:rFonts w:ascii="Aptos" w:hAnsi="Aptos"/>
          <w:lang w:eastAsia="en-US"/>
        </w:rPr>
        <w:t>needs</w:t>
      </w:r>
      <w:proofErr w:type="gramEnd"/>
      <w:r w:rsidRPr="00C451C8">
        <w:rPr>
          <w:rFonts w:ascii="Aptos" w:hAnsi="Aptos"/>
          <w:lang w:eastAsia="en-US"/>
        </w:rPr>
        <w:t xml:space="preserve">, course fees and teacher costs are not supported by SDS. </w:t>
      </w:r>
    </w:p>
    <w:p w14:paraId="7D220BF6" w14:textId="77777777" w:rsidR="007737B5" w:rsidRPr="00C451C8" w:rsidRDefault="007737B5" w:rsidP="007737B5">
      <w:pPr>
        <w:pStyle w:val="ListBullet"/>
        <w:rPr>
          <w:rFonts w:ascii="Aptos" w:hAnsi="Aptos"/>
          <w:lang w:eastAsia="en-US"/>
        </w:rPr>
      </w:pPr>
      <w:r w:rsidRPr="00C451C8">
        <w:rPr>
          <w:rFonts w:ascii="Aptos" w:hAnsi="Aptos"/>
          <w:lang w:eastAsia="en-US"/>
        </w:rPr>
        <w:t xml:space="preserve">Specialised support services include professional support workers, assessments of educational support needs and training in the use of technology. </w:t>
      </w:r>
    </w:p>
    <w:p w14:paraId="1E31E749" w14:textId="77777777" w:rsidR="007737B5" w:rsidRPr="00C451C8" w:rsidRDefault="007737B5" w:rsidP="007737B5">
      <w:pPr>
        <w:pStyle w:val="ListBullet"/>
        <w:rPr>
          <w:rFonts w:ascii="Aptos" w:hAnsi="Aptos"/>
          <w:lang w:eastAsia="en-US"/>
        </w:rPr>
      </w:pPr>
      <w:r w:rsidRPr="00C451C8">
        <w:rPr>
          <w:rFonts w:ascii="Aptos" w:hAnsi="Aptos"/>
          <w:lang w:eastAsia="en-US"/>
        </w:rPr>
        <w:t xml:space="preserve">Student needs should be identified until the end of the current program of study. Subsidised support will only be provided once for a student and may not cover the full program of study. </w:t>
      </w:r>
    </w:p>
    <w:p w14:paraId="7B82AC5D" w14:textId="77777777" w:rsidR="007737B5" w:rsidRPr="00C451C8" w:rsidRDefault="007737B5" w:rsidP="007737B5">
      <w:pPr>
        <w:pStyle w:val="ListBullet"/>
        <w:rPr>
          <w:rFonts w:ascii="Aptos" w:hAnsi="Aptos"/>
          <w:lang w:eastAsia="zh-CN"/>
        </w:rPr>
      </w:pPr>
      <w:r w:rsidRPr="00C451C8">
        <w:rPr>
          <w:rFonts w:ascii="Aptos" w:hAnsi="Aptos"/>
        </w:rPr>
        <w:t xml:space="preserve">The completed application form is to be digitally signed and/or printed and signed by an RTO representative, the student and a parent/guardian for students under 18. </w:t>
      </w:r>
    </w:p>
    <w:p w14:paraId="5F1B6B9C" w14:textId="77777777" w:rsidR="007737B5" w:rsidRPr="00C451C8" w:rsidRDefault="007737B5" w:rsidP="007737B5">
      <w:pPr>
        <w:pStyle w:val="ListBullet"/>
        <w:rPr>
          <w:rFonts w:ascii="Aptos" w:eastAsia="Arial" w:hAnsi="Aptos"/>
          <w:bCs/>
          <w:lang w:eastAsia="en-US"/>
        </w:rPr>
      </w:pPr>
      <w:r w:rsidRPr="00C451C8">
        <w:rPr>
          <w:rFonts w:ascii="Aptos" w:hAnsi="Aptos"/>
        </w:rPr>
        <w:t xml:space="preserve">By signing and submitting the application form, you, the student and the parent/guardian certify that all the information provided is complete, current, true, accurate and not misleading, and that you agree to the current version of the </w:t>
      </w:r>
      <w:hyperlink r:id="rId15" w:history="1">
        <w:r w:rsidRPr="00C451C8">
          <w:rPr>
            <w:rStyle w:val="Hyperlink"/>
            <w:rFonts w:ascii="Aptos" w:hAnsi="Aptos"/>
          </w:rPr>
          <w:t>SDS Terms of Use</w:t>
        </w:r>
      </w:hyperlink>
      <w:r w:rsidRPr="00C451C8">
        <w:rPr>
          <w:rFonts w:ascii="Aptos" w:hAnsi="Aptos"/>
        </w:rPr>
        <w:t xml:space="preserve">. </w:t>
      </w:r>
    </w:p>
    <w:p w14:paraId="47AA424F" w14:textId="77777777" w:rsidR="007737B5" w:rsidRDefault="007737B5" w:rsidP="007737B5">
      <w:pPr>
        <w:pStyle w:val="ListBullet"/>
        <w:rPr>
          <w:rFonts w:ascii="Aptos" w:eastAsia="Arial" w:hAnsi="Aptos"/>
          <w:bCs/>
          <w:lang w:eastAsia="en-US"/>
        </w:rPr>
      </w:pPr>
      <w:r w:rsidRPr="00C451C8">
        <w:rPr>
          <w:rFonts w:ascii="Aptos" w:eastAsia="Arial" w:hAnsi="Aptos"/>
          <w:bCs/>
          <w:lang w:eastAsia="en-US"/>
        </w:rPr>
        <w:t>Evidence of disability is to be attached to the application clearly stating the student’s disability. For example, detailed medical reports and/or school reports containing specific detail of official diagnosis of disability and supporting documentation. If evidence of disability is not available, an application will not be progressed.</w:t>
      </w:r>
    </w:p>
    <w:p w14:paraId="36EE4EB2" w14:textId="77777777" w:rsidR="00C451C8" w:rsidRPr="00C451C8" w:rsidRDefault="00C451C8" w:rsidP="00C451C8">
      <w:pPr>
        <w:pStyle w:val="ListBullet"/>
        <w:numPr>
          <w:ilvl w:val="0"/>
          <w:numId w:val="0"/>
        </w:numPr>
        <w:ind w:left="284"/>
        <w:rPr>
          <w:rFonts w:ascii="Aptos" w:eastAsia="Arial" w:hAnsi="Aptos"/>
          <w:bCs/>
          <w:lang w:eastAsia="en-US"/>
        </w:rPr>
      </w:pPr>
    </w:p>
    <w:p w14:paraId="69BEAECF" w14:textId="77777777" w:rsidR="007737B5" w:rsidRPr="00C451C8" w:rsidRDefault="007737B5" w:rsidP="007737B5">
      <w:pPr>
        <w:pStyle w:val="ListBullet"/>
        <w:rPr>
          <w:rFonts w:ascii="Aptos" w:eastAsia="Arial" w:hAnsi="Aptos"/>
          <w:bCs/>
          <w:lang w:eastAsia="en-US"/>
        </w:rPr>
      </w:pPr>
      <w:r w:rsidRPr="00C451C8">
        <w:rPr>
          <w:rFonts w:ascii="Aptos" w:eastAsia="Arial" w:hAnsi="Aptos"/>
          <w:bCs/>
          <w:lang w:eastAsia="en-US"/>
        </w:rPr>
        <w:t>Attach proof of enrolment to the application identifying:</w:t>
      </w:r>
    </w:p>
    <w:p w14:paraId="53451A6F" w14:textId="77777777" w:rsidR="007737B5" w:rsidRPr="00C451C8" w:rsidRDefault="007737B5" w:rsidP="007737B5">
      <w:pPr>
        <w:pStyle w:val="ListBullet"/>
        <w:numPr>
          <w:ilvl w:val="1"/>
          <w:numId w:val="1"/>
        </w:numPr>
        <w:rPr>
          <w:rFonts w:ascii="Aptos" w:eastAsia="SimSun" w:hAnsi="Aptos"/>
          <w:lang w:eastAsia="zh-CN"/>
        </w:rPr>
      </w:pPr>
      <w:r w:rsidRPr="00C451C8">
        <w:rPr>
          <w:rFonts w:ascii="Aptos" w:hAnsi="Aptos"/>
        </w:rPr>
        <w:t>student name and unique student identifier (USI)</w:t>
      </w:r>
    </w:p>
    <w:p w14:paraId="1D13E8FF" w14:textId="77777777" w:rsidR="007737B5" w:rsidRPr="00C451C8" w:rsidRDefault="007737B5" w:rsidP="007737B5">
      <w:pPr>
        <w:pStyle w:val="ListBullet"/>
        <w:numPr>
          <w:ilvl w:val="1"/>
          <w:numId w:val="1"/>
        </w:numPr>
        <w:rPr>
          <w:rFonts w:ascii="Aptos" w:hAnsi="Aptos"/>
        </w:rPr>
      </w:pPr>
      <w:r w:rsidRPr="00C451C8">
        <w:rPr>
          <w:rFonts w:ascii="Aptos" w:hAnsi="Aptos"/>
        </w:rPr>
        <w:t>qualification/course name and code</w:t>
      </w:r>
    </w:p>
    <w:p w14:paraId="1FDE3BDB" w14:textId="77777777" w:rsidR="007737B5" w:rsidRPr="00C451C8" w:rsidRDefault="007737B5" w:rsidP="007737B5">
      <w:pPr>
        <w:pStyle w:val="ListBullet"/>
        <w:numPr>
          <w:ilvl w:val="1"/>
          <w:numId w:val="1"/>
        </w:numPr>
        <w:rPr>
          <w:rFonts w:ascii="Aptos" w:hAnsi="Aptos"/>
        </w:rPr>
      </w:pPr>
      <w:r w:rsidRPr="00C451C8">
        <w:rPr>
          <w:rFonts w:ascii="Aptos" w:hAnsi="Aptos"/>
        </w:rPr>
        <w:t>nominal hours of enrolled units</w:t>
      </w:r>
    </w:p>
    <w:p w14:paraId="2BAB0365" w14:textId="77777777" w:rsidR="007737B5" w:rsidRPr="00C451C8" w:rsidRDefault="007737B5" w:rsidP="007737B5">
      <w:pPr>
        <w:pStyle w:val="ListBullet"/>
        <w:numPr>
          <w:ilvl w:val="1"/>
          <w:numId w:val="1"/>
        </w:numPr>
        <w:rPr>
          <w:rFonts w:ascii="Aptos" w:hAnsi="Aptos"/>
        </w:rPr>
      </w:pPr>
      <w:r w:rsidRPr="00C451C8">
        <w:rPr>
          <w:rFonts w:ascii="Aptos" w:hAnsi="Aptos"/>
        </w:rPr>
        <w:t xml:space="preserve">the state fund source code </w:t>
      </w:r>
    </w:p>
    <w:p w14:paraId="5AAE146E" w14:textId="77777777" w:rsidR="007737B5" w:rsidRPr="00C451C8" w:rsidRDefault="007737B5" w:rsidP="007737B5">
      <w:pPr>
        <w:pStyle w:val="ListBullet"/>
        <w:numPr>
          <w:ilvl w:val="1"/>
          <w:numId w:val="1"/>
        </w:numPr>
        <w:rPr>
          <w:rFonts w:ascii="Aptos" w:hAnsi="Aptos"/>
        </w:rPr>
      </w:pPr>
      <w:r w:rsidRPr="00C451C8">
        <w:rPr>
          <w:rFonts w:ascii="Aptos" w:hAnsi="Aptos"/>
        </w:rPr>
        <w:t>start and close of study dates</w:t>
      </w:r>
    </w:p>
    <w:p w14:paraId="63529886" w14:textId="77777777" w:rsidR="007737B5" w:rsidRPr="00C451C8" w:rsidRDefault="007737B5" w:rsidP="007737B5">
      <w:pPr>
        <w:pStyle w:val="ListBullet"/>
        <w:numPr>
          <w:ilvl w:val="1"/>
          <w:numId w:val="1"/>
        </w:numPr>
        <w:rPr>
          <w:rFonts w:ascii="Aptos" w:hAnsi="Aptos"/>
        </w:rPr>
      </w:pPr>
      <w:r w:rsidRPr="00C451C8">
        <w:rPr>
          <w:rFonts w:ascii="Aptos" w:hAnsi="Aptos"/>
        </w:rPr>
        <w:t>student results to date (if applicable).</w:t>
      </w:r>
    </w:p>
    <w:p w14:paraId="72B24157" w14:textId="77777777" w:rsidR="007737B5" w:rsidRPr="00C451C8" w:rsidRDefault="007737B5" w:rsidP="007737B5">
      <w:pPr>
        <w:pStyle w:val="ListBullet"/>
        <w:rPr>
          <w:rFonts w:ascii="Aptos" w:eastAsia="Arial" w:hAnsi="Aptos"/>
          <w:lang w:eastAsia="en-US"/>
        </w:rPr>
      </w:pPr>
      <w:r w:rsidRPr="00C451C8">
        <w:rPr>
          <w:rFonts w:ascii="Aptos" w:eastAsia="Arial" w:hAnsi="Aptos"/>
          <w:lang w:eastAsia="en-US"/>
        </w:rPr>
        <w:t>Applications can only be submitted for enrolled students.</w:t>
      </w:r>
    </w:p>
    <w:p w14:paraId="3B819FB1" w14:textId="77777777" w:rsidR="007737B5" w:rsidRPr="00C451C8" w:rsidRDefault="007737B5" w:rsidP="007737B5">
      <w:pPr>
        <w:pStyle w:val="ListBullet"/>
        <w:rPr>
          <w:rFonts w:ascii="Aptos" w:eastAsia="Arial" w:hAnsi="Aptos"/>
          <w:lang w:eastAsia="en-US"/>
        </w:rPr>
      </w:pPr>
      <w:r w:rsidRPr="00C451C8">
        <w:rPr>
          <w:rFonts w:ascii="Aptos" w:eastAsia="Arial" w:hAnsi="Aptos"/>
          <w:lang w:eastAsia="en-US"/>
        </w:rPr>
        <w:t>SDS will advise you of the approval status of complete applications within 10-14 business days through an agreement detailing the services approved for implementation.</w:t>
      </w:r>
    </w:p>
    <w:p w14:paraId="76D81127" w14:textId="77777777" w:rsidR="007737B5" w:rsidRPr="00C451C8" w:rsidRDefault="007737B5" w:rsidP="007737B5">
      <w:pPr>
        <w:pStyle w:val="ListBullet"/>
        <w:rPr>
          <w:rFonts w:ascii="Aptos" w:eastAsia="Arial" w:hAnsi="Aptos"/>
          <w:lang w:eastAsia="en-US"/>
        </w:rPr>
      </w:pPr>
      <w:r w:rsidRPr="00C451C8">
        <w:rPr>
          <w:rFonts w:ascii="Aptos" w:eastAsia="Arial" w:hAnsi="Aptos"/>
          <w:lang w:eastAsia="en-US"/>
        </w:rPr>
        <w:t xml:space="preserve">Grant payments will then be made via a one-off, upfront grant payment to your organisation’s nominated bank account. </w:t>
      </w:r>
    </w:p>
    <w:p w14:paraId="5A170CC9" w14:textId="77777777" w:rsidR="007737B5" w:rsidRPr="00C451C8" w:rsidRDefault="007737B5" w:rsidP="007737B5">
      <w:pPr>
        <w:pStyle w:val="ListBullet"/>
        <w:numPr>
          <w:ilvl w:val="0"/>
          <w:numId w:val="0"/>
        </w:numPr>
        <w:ind w:left="284" w:hanging="284"/>
        <w:rPr>
          <w:rFonts w:ascii="Aptos" w:eastAsia="Arial" w:hAnsi="Aptos"/>
          <w:lang w:eastAsia="en-US"/>
        </w:rPr>
      </w:pPr>
    </w:p>
    <w:p w14:paraId="41527288" w14:textId="77777777" w:rsidR="007737B5" w:rsidRPr="00C451C8" w:rsidRDefault="007737B5" w:rsidP="007737B5">
      <w:pPr>
        <w:pStyle w:val="Heading1"/>
        <w:numPr>
          <w:ilvl w:val="0"/>
          <w:numId w:val="26"/>
        </w:numPr>
        <w:tabs>
          <w:tab w:val="num" w:pos="851"/>
        </w:tabs>
        <w:ind w:left="851" w:hanging="851"/>
        <w:rPr>
          <w:rFonts w:ascii="Aptos" w:eastAsia="MS Gothic" w:hAnsi="Aptos"/>
        </w:rPr>
      </w:pPr>
      <w:bookmarkStart w:id="23" w:name="_Toc468355175"/>
      <w:bookmarkStart w:id="24" w:name="_Toc422746457"/>
      <w:bookmarkStart w:id="25" w:name="_Toc2164242"/>
      <w:bookmarkStart w:id="26" w:name="_Toc207710345"/>
      <w:r w:rsidRPr="00C451C8">
        <w:rPr>
          <w:rFonts w:ascii="Aptos" w:hAnsi="Aptos"/>
        </w:rPr>
        <w:t>Implement approved services</w:t>
      </w:r>
      <w:bookmarkEnd w:id="23"/>
      <w:bookmarkEnd w:id="24"/>
      <w:bookmarkEnd w:id="25"/>
      <w:bookmarkEnd w:id="26"/>
    </w:p>
    <w:p w14:paraId="13009A62" w14:textId="77777777" w:rsidR="007737B5" w:rsidRPr="00C451C8" w:rsidRDefault="007737B5" w:rsidP="007737B5">
      <w:pPr>
        <w:pStyle w:val="Heading2"/>
        <w:numPr>
          <w:ilvl w:val="1"/>
          <w:numId w:val="26"/>
        </w:numPr>
        <w:tabs>
          <w:tab w:val="num" w:pos="851"/>
        </w:tabs>
        <w:ind w:left="851" w:hanging="851"/>
        <w:rPr>
          <w:rFonts w:ascii="Aptos" w:hAnsi="Aptos"/>
        </w:rPr>
      </w:pPr>
      <w:bookmarkStart w:id="27" w:name="_Toc468355176"/>
      <w:bookmarkStart w:id="28" w:name="_Toc422746458"/>
      <w:bookmarkStart w:id="29" w:name="_Toc2164243"/>
      <w:bookmarkStart w:id="30" w:name="_Toc207710346"/>
      <w:r w:rsidRPr="00C451C8">
        <w:rPr>
          <w:rFonts w:ascii="Aptos" w:hAnsi="Aptos"/>
        </w:rPr>
        <w:t>Specialised technology loans</w:t>
      </w:r>
      <w:bookmarkEnd w:id="27"/>
      <w:bookmarkEnd w:id="28"/>
      <w:bookmarkEnd w:id="29"/>
      <w:bookmarkEnd w:id="30"/>
    </w:p>
    <w:p w14:paraId="192F6650" w14:textId="77777777" w:rsidR="007737B5" w:rsidRPr="00C451C8" w:rsidRDefault="007737B5" w:rsidP="007737B5">
      <w:pPr>
        <w:pStyle w:val="ListBullet"/>
        <w:rPr>
          <w:rFonts w:ascii="Aptos" w:hAnsi="Aptos"/>
          <w:lang w:eastAsia="en-US"/>
        </w:rPr>
      </w:pPr>
      <w:r w:rsidRPr="00C451C8">
        <w:rPr>
          <w:rFonts w:ascii="Aptos" w:hAnsi="Aptos"/>
          <w:lang w:eastAsia="en-US"/>
        </w:rPr>
        <w:t>Upon approval, specialised technology will be sent to you (SAS) on a loan basis. The loan expiry date will be stated in the Agreement.</w:t>
      </w:r>
    </w:p>
    <w:p w14:paraId="4A74D431" w14:textId="77777777" w:rsidR="007737B5" w:rsidRPr="00C451C8" w:rsidRDefault="007737B5" w:rsidP="007737B5">
      <w:pPr>
        <w:pStyle w:val="ListBullet"/>
        <w:rPr>
          <w:rFonts w:ascii="Aptos" w:hAnsi="Aptos"/>
          <w:lang w:eastAsia="en-US"/>
        </w:rPr>
      </w:pPr>
      <w:r w:rsidRPr="00C451C8">
        <w:rPr>
          <w:rFonts w:ascii="Aptos" w:hAnsi="Aptos"/>
          <w:lang w:eastAsia="en-US"/>
        </w:rPr>
        <w:t>The technology must be returned at loan expiry date, at the time of student withdrawal, on request by SDS or as otherwise agreed.</w:t>
      </w:r>
    </w:p>
    <w:p w14:paraId="7EFD406D" w14:textId="77777777" w:rsidR="007737B5" w:rsidRPr="00C451C8" w:rsidRDefault="007737B5" w:rsidP="007737B5">
      <w:pPr>
        <w:pStyle w:val="Heading2"/>
        <w:numPr>
          <w:ilvl w:val="1"/>
          <w:numId w:val="26"/>
        </w:numPr>
        <w:tabs>
          <w:tab w:val="num" w:pos="851"/>
        </w:tabs>
        <w:ind w:left="851" w:hanging="851"/>
        <w:rPr>
          <w:rFonts w:ascii="Aptos" w:hAnsi="Aptos"/>
        </w:rPr>
      </w:pPr>
      <w:bookmarkStart w:id="31" w:name="_Toc468355177"/>
      <w:bookmarkStart w:id="32" w:name="_Toc422746459"/>
      <w:bookmarkStart w:id="33" w:name="_Toc2164244"/>
      <w:bookmarkStart w:id="34" w:name="_Toc207710347"/>
      <w:r w:rsidRPr="00C451C8">
        <w:rPr>
          <w:rFonts w:ascii="Aptos" w:hAnsi="Aptos"/>
        </w:rPr>
        <w:t xml:space="preserve">Technology </w:t>
      </w:r>
      <w:proofErr w:type="gramStart"/>
      <w:r w:rsidRPr="00C451C8">
        <w:rPr>
          <w:rFonts w:ascii="Aptos" w:hAnsi="Aptos"/>
        </w:rPr>
        <w:t>stocktake</w:t>
      </w:r>
      <w:proofErr w:type="gramEnd"/>
      <w:r w:rsidRPr="00C451C8">
        <w:rPr>
          <w:rFonts w:ascii="Aptos" w:hAnsi="Aptos"/>
        </w:rPr>
        <w:t xml:space="preserve"> and bi-annual electrical tagging</w:t>
      </w:r>
      <w:bookmarkEnd w:id="31"/>
      <w:bookmarkEnd w:id="32"/>
      <w:bookmarkEnd w:id="33"/>
      <w:bookmarkEnd w:id="34"/>
    </w:p>
    <w:p w14:paraId="549D93A0" w14:textId="77777777" w:rsidR="007737B5" w:rsidRPr="00C451C8" w:rsidRDefault="007737B5" w:rsidP="007737B5">
      <w:pPr>
        <w:pStyle w:val="ListBullet"/>
        <w:rPr>
          <w:rFonts w:ascii="Aptos" w:hAnsi="Aptos"/>
          <w:lang w:eastAsia="en-US"/>
        </w:rPr>
      </w:pPr>
      <w:r w:rsidRPr="00C451C8">
        <w:rPr>
          <w:rFonts w:ascii="Aptos" w:hAnsi="Aptos"/>
          <w:lang w:eastAsia="en-US"/>
        </w:rPr>
        <w:t>If you have technology on loan during the annual stocktake (February/March) you will be asked to physically view and verify each item. A stocktake report form will be sent to you requiring the signatures of two employed officers.</w:t>
      </w:r>
    </w:p>
    <w:p w14:paraId="3C354F0C" w14:textId="77777777" w:rsidR="007737B5" w:rsidRPr="00C451C8" w:rsidRDefault="007737B5" w:rsidP="007737B5">
      <w:pPr>
        <w:pStyle w:val="ListBullet"/>
        <w:rPr>
          <w:rFonts w:ascii="Aptos" w:hAnsi="Aptos"/>
          <w:lang w:eastAsia="en-US"/>
        </w:rPr>
      </w:pPr>
      <w:r w:rsidRPr="00C451C8">
        <w:rPr>
          <w:rFonts w:ascii="Aptos" w:hAnsi="Aptos"/>
          <w:lang w:eastAsia="en-US"/>
        </w:rPr>
        <w:t>Electrical safety checks on electrical items must be conducted each June and December to ensure student safety. Electrical safety tagging is not reimbursable by SDS.</w:t>
      </w:r>
    </w:p>
    <w:p w14:paraId="642644BE" w14:textId="77777777" w:rsidR="007737B5" w:rsidRPr="00C451C8" w:rsidRDefault="007737B5" w:rsidP="007737B5">
      <w:pPr>
        <w:pStyle w:val="Heading2"/>
        <w:numPr>
          <w:ilvl w:val="1"/>
          <w:numId w:val="26"/>
        </w:numPr>
        <w:tabs>
          <w:tab w:val="num" w:pos="851"/>
        </w:tabs>
        <w:ind w:left="851" w:hanging="851"/>
        <w:rPr>
          <w:rFonts w:ascii="Aptos" w:hAnsi="Aptos"/>
        </w:rPr>
      </w:pPr>
      <w:bookmarkStart w:id="35" w:name="_Toc468355178"/>
      <w:bookmarkStart w:id="36" w:name="_Toc422746460"/>
      <w:bookmarkStart w:id="37" w:name="_Toc2164245"/>
      <w:bookmarkStart w:id="38" w:name="_Toc207710348"/>
      <w:r w:rsidRPr="00C451C8">
        <w:rPr>
          <w:rFonts w:ascii="Aptos" w:hAnsi="Aptos"/>
        </w:rPr>
        <w:t>Specialised subsidised support services</w:t>
      </w:r>
      <w:bookmarkEnd w:id="35"/>
      <w:bookmarkEnd w:id="36"/>
      <w:bookmarkEnd w:id="37"/>
      <w:bookmarkEnd w:id="38"/>
      <w:r w:rsidRPr="00C451C8">
        <w:rPr>
          <w:rFonts w:ascii="Aptos" w:hAnsi="Aptos"/>
        </w:rPr>
        <w:t xml:space="preserve"> </w:t>
      </w:r>
    </w:p>
    <w:p w14:paraId="2B280E82" w14:textId="77777777" w:rsidR="007737B5" w:rsidRPr="00C451C8" w:rsidRDefault="007737B5" w:rsidP="007737B5">
      <w:pPr>
        <w:pStyle w:val="ListBullet"/>
        <w:rPr>
          <w:rFonts w:ascii="Aptos" w:hAnsi="Aptos"/>
          <w:lang w:eastAsia="en-US"/>
        </w:rPr>
      </w:pPr>
      <w:r w:rsidRPr="00C451C8">
        <w:rPr>
          <w:rFonts w:ascii="Aptos" w:hAnsi="Aptos"/>
          <w:lang w:eastAsia="en-US"/>
        </w:rPr>
        <w:t>Upon application approval SAS are responsible for arranging and managing the subsidised support services as well as managing service quality and any risk associated with engaging personnel to provide the services.</w:t>
      </w:r>
    </w:p>
    <w:p w14:paraId="1CFAA3C3" w14:textId="77777777" w:rsidR="007737B5" w:rsidRPr="00C451C8" w:rsidRDefault="007737B5" w:rsidP="007737B5">
      <w:pPr>
        <w:pStyle w:val="Heading2"/>
        <w:numPr>
          <w:ilvl w:val="1"/>
          <w:numId w:val="26"/>
        </w:numPr>
        <w:tabs>
          <w:tab w:val="num" w:pos="851"/>
        </w:tabs>
        <w:ind w:left="851" w:hanging="851"/>
        <w:rPr>
          <w:rFonts w:ascii="Aptos" w:hAnsi="Aptos"/>
        </w:rPr>
      </w:pPr>
      <w:bookmarkStart w:id="39" w:name="_Toc468355179"/>
      <w:bookmarkStart w:id="40" w:name="_Toc2164246"/>
      <w:bookmarkStart w:id="41" w:name="_Toc207710349"/>
      <w:r w:rsidRPr="00C451C8">
        <w:rPr>
          <w:rFonts w:ascii="Aptos" w:hAnsi="Aptos"/>
        </w:rPr>
        <w:t>Monitoring subsidised support services</w:t>
      </w:r>
      <w:bookmarkEnd w:id="39"/>
      <w:bookmarkEnd w:id="40"/>
      <w:bookmarkEnd w:id="41"/>
      <w:r w:rsidRPr="00C451C8">
        <w:rPr>
          <w:rFonts w:ascii="Aptos" w:hAnsi="Aptos"/>
        </w:rPr>
        <w:t xml:space="preserve"> </w:t>
      </w:r>
    </w:p>
    <w:p w14:paraId="5669440F" w14:textId="77777777" w:rsidR="007737B5" w:rsidRPr="00C451C8" w:rsidRDefault="007737B5" w:rsidP="007737B5">
      <w:pPr>
        <w:pStyle w:val="ListBullet"/>
        <w:rPr>
          <w:rFonts w:ascii="Aptos" w:hAnsi="Aptos"/>
          <w:lang w:eastAsia="en-US"/>
        </w:rPr>
      </w:pPr>
      <w:r w:rsidRPr="00C451C8">
        <w:rPr>
          <w:rFonts w:ascii="Aptos" w:hAnsi="Aptos"/>
          <w:lang w:eastAsia="en-US"/>
        </w:rPr>
        <w:t xml:space="preserve">As per the </w:t>
      </w:r>
      <w:r w:rsidRPr="00C451C8">
        <w:rPr>
          <w:rFonts w:ascii="Aptos" w:hAnsi="Aptos"/>
          <w:i/>
          <w:lang w:eastAsia="en-US"/>
        </w:rPr>
        <w:t>Disability Standards for Education (2005)</w:t>
      </w:r>
      <w:r w:rsidRPr="00C451C8">
        <w:rPr>
          <w:rFonts w:ascii="Aptos" w:hAnsi="Aptos"/>
          <w:lang w:eastAsia="en-US"/>
        </w:rPr>
        <w:t xml:space="preserve"> SAS are responsible for monitoring students’ needs and the ongoing effectiveness of support.</w:t>
      </w:r>
    </w:p>
    <w:p w14:paraId="1F64D396" w14:textId="77777777" w:rsidR="007737B5" w:rsidRDefault="007737B5" w:rsidP="007737B5">
      <w:pPr>
        <w:pStyle w:val="ListBullet"/>
        <w:numPr>
          <w:ilvl w:val="0"/>
          <w:numId w:val="0"/>
        </w:numPr>
        <w:ind w:left="284"/>
        <w:rPr>
          <w:rFonts w:ascii="Aptos" w:hAnsi="Aptos"/>
          <w:lang w:eastAsia="en-US"/>
        </w:rPr>
      </w:pPr>
    </w:p>
    <w:p w14:paraId="19AF2B6D" w14:textId="77777777" w:rsidR="00C451C8" w:rsidRDefault="00C451C8" w:rsidP="007737B5">
      <w:pPr>
        <w:pStyle w:val="ListBullet"/>
        <w:numPr>
          <w:ilvl w:val="0"/>
          <w:numId w:val="0"/>
        </w:numPr>
        <w:ind w:left="284"/>
        <w:rPr>
          <w:rFonts w:ascii="Aptos" w:hAnsi="Aptos"/>
          <w:lang w:eastAsia="en-US"/>
        </w:rPr>
      </w:pPr>
    </w:p>
    <w:p w14:paraId="20B180B6" w14:textId="77777777" w:rsidR="00C451C8" w:rsidRDefault="00C451C8" w:rsidP="007737B5">
      <w:pPr>
        <w:pStyle w:val="ListBullet"/>
        <w:numPr>
          <w:ilvl w:val="0"/>
          <w:numId w:val="0"/>
        </w:numPr>
        <w:ind w:left="284"/>
        <w:rPr>
          <w:rFonts w:ascii="Aptos" w:hAnsi="Aptos"/>
          <w:lang w:eastAsia="en-US"/>
        </w:rPr>
      </w:pPr>
    </w:p>
    <w:p w14:paraId="4E7939EB" w14:textId="77777777" w:rsidR="00C451C8" w:rsidRPr="00C451C8" w:rsidRDefault="00C451C8" w:rsidP="007737B5">
      <w:pPr>
        <w:pStyle w:val="ListBullet"/>
        <w:numPr>
          <w:ilvl w:val="0"/>
          <w:numId w:val="0"/>
        </w:numPr>
        <w:ind w:left="284"/>
        <w:rPr>
          <w:rFonts w:ascii="Aptos" w:hAnsi="Aptos"/>
          <w:lang w:eastAsia="en-US"/>
        </w:rPr>
      </w:pPr>
    </w:p>
    <w:p w14:paraId="7A15D6B0" w14:textId="77777777" w:rsidR="007737B5" w:rsidRPr="00C451C8" w:rsidRDefault="007737B5" w:rsidP="007737B5">
      <w:pPr>
        <w:pStyle w:val="Heading1"/>
        <w:numPr>
          <w:ilvl w:val="0"/>
          <w:numId w:val="26"/>
        </w:numPr>
        <w:tabs>
          <w:tab w:val="num" w:pos="851"/>
        </w:tabs>
        <w:ind w:left="851" w:hanging="851"/>
        <w:rPr>
          <w:rFonts w:ascii="Aptos" w:eastAsia="MS Gothic" w:hAnsi="Aptos"/>
        </w:rPr>
      </w:pPr>
      <w:bookmarkStart w:id="42" w:name="_Toc422746461"/>
      <w:bookmarkStart w:id="43" w:name="_Toc207710350"/>
      <w:bookmarkStart w:id="44" w:name="_Toc468355180"/>
      <w:bookmarkStart w:id="45" w:name="_Toc2164247"/>
      <w:r w:rsidRPr="00C451C8">
        <w:rPr>
          <w:rFonts w:ascii="Aptos" w:hAnsi="Aptos"/>
        </w:rPr>
        <w:t>Bi-annual report</w:t>
      </w:r>
      <w:bookmarkEnd w:id="42"/>
      <w:bookmarkEnd w:id="43"/>
      <w:r w:rsidRPr="00C451C8">
        <w:rPr>
          <w:rFonts w:ascii="Aptos" w:hAnsi="Aptos"/>
        </w:rPr>
        <w:t xml:space="preserve"> </w:t>
      </w:r>
      <w:bookmarkEnd w:id="44"/>
      <w:bookmarkEnd w:id="45"/>
    </w:p>
    <w:p w14:paraId="32DA1CCB" w14:textId="77777777" w:rsidR="007737B5" w:rsidRPr="00C451C8" w:rsidRDefault="007737B5" w:rsidP="007737B5">
      <w:pPr>
        <w:pStyle w:val="Heading2"/>
        <w:numPr>
          <w:ilvl w:val="1"/>
          <w:numId w:val="26"/>
        </w:numPr>
        <w:tabs>
          <w:tab w:val="num" w:pos="851"/>
        </w:tabs>
        <w:ind w:left="851" w:hanging="851"/>
        <w:rPr>
          <w:rFonts w:ascii="Aptos" w:hAnsi="Aptos"/>
        </w:rPr>
      </w:pPr>
      <w:bookmarkStart w:id="46" w:name="_Toc207710351"/>
      <w:r w:rsidRPr="00C451C8">
        <w:rPr>
          <w:rFonts w:ascii="Aptos" w:hAnsi="Aptos"/>
        </w:rPr>
        <w:t>Bi-annual report</w:t>
      </w:r>
      <w:bookmarkEnd w:id="46"/>
    </w:p>
    <w:p w14:paraId="748F5F26" w14:textId="77777777" w:rsidR="007737B5" w:rsidRPr="00C451C8" w:rsidRDefault="007737B5" w:rsidP="007737B5">
      <w:pPr>
        <w:pStyle w:val="ListBullet"/>
        <w:rPr>
          <w:rFonts w:ascii="Aptos" w:hAnsi="Aptos"/>
          <w:lang w:eastAsia="en-US"/>
        </w:rPr>
      </w:pPr>
      <w:r w:rsidRPr="00C451C8">
        <w:rPr>
          <w:rFonts w:ascii="Aptos" w:hAnsi="Aptos"/>
          <w:lang w:eastAsia="en-US"/>
        </w:rPr>
        <w:t>Following distribution of approved Agreement and associated grant funding, SAS are required to complete quarterly reports, providing SDS with the outcomes associated with the subsidised support provided to each student who has completed or withdrawn from study during the requested reporting period, plus details for ongoing students.</w:t>
      </w:r>
    </w:p>
    <w:p w14:paraId="3B4238FB" w14:textId="77777777" w:rsidR="007737B5" w:rsidRPr="00C451C8" w:rsidRDefault="007737B5" w:rsidP="007737B5">
      <w:pPr>
        <w:pStyle w:val="ListBullet"/>
        <w:rPr>
          <w:rFonts w:ascii="Aptos" w:hAnsi="Aptos"/>
          <w:lang w:eastAsia="en-US"/>
        </w:rPr>
      </w:pPr>
      <w:r w:rsidRPr="00C451C8">
        <w:rPr>
          <w:rFonts w:ascii="Aptos" w:eastAsia="Arial" w:hAnsi="Aptos"/>
          <w:bCs/>
          <w:lang w:eastAsia="en-US"/>
        </w:rPr>
        <w:t>Reports are required to be submitted by fourteen (14) days following the request.</w:t>
      </w:r>
    </w:p>
    <w:p w14:paraId="7690B88B" w14:textId="77777777" w:rsidR="007737B5" w:rsidRPr="00C451C8" w:rsidRDefault="007737B5" w:rsidP="007737B5">
      <w:pPr>
        <w:pStyle w:val="ListBullet"/>
        <w:rPr>
          <w:rFonts w:ascii="Aptos" w:hAnsi="Aptos"/>
          <w:lang w:eastAsia="en-US"/>
        </w:rPr>
      </w:pPr>
      <w:r w:rsidRPr="00C451C8">
        <w:rPr>
          <w:rFonts w:ascii="Aptos" w:eastAsia="Arial" w:hAnsi="Aptos"/>
          <w:bCs/>
          <w:lang w:eastAsia="en-US"/>
        </w:rPr>
        <w:t>The department will provide a copy of the Bi-annual report noting active students for completion.</w:t>
      </w:r>
    </w:p>
    <w:p w14:paraId="290491A7" w14:textId="77777777" w:rsidR="007737B5" w:rsidRPr="00C451C8" w:rsidRDefault="007737B5" w:rsidP="007737B5">
      <w:pPr>
        <w:pStyle w:val="Heading2"/>
        <w:numPr>
          <w:ilvl w:val="1"/>
          <w:numId w:val="26"/>
        </w:numPr>
        <w:tabs>
          <w:tab w:val="num" w:pos="851"/>
        </w:tabs>
        <w:ind w:left="851" w:hanging="851"/>
        <w:rPr>
          <w:rFonts w:ascii="Aptos" w:hAnsi="Aptos"/>
        </w:rPr>
      </w:pPr>
      <w:bookmarkStart w:id="47" w:name="_Toc207710352"/>
      <w:r w:rsidRPr="00C451C8">
        <w:rPr>
          <w:rFonts w:ascii="Aptos" w:hAnsi="Aptos"/>
        </w:rPr>
        <w:t>Acquittal process</w:t>
      </w:r>
      <w:bookmarkEnd w:id="47"/>
    </w:p>
    <w:p w14:paraId="2F546F89" w14:textId="77777777" w:rsidR="007737B5" w:rsidRPr="00C451C8" w:rsidRDefault="007737B5" w:rsidP="007737B5">
      <w:pPr>
        <w:pStyle w:val="ListBullet"/>
        <w:numPr>
          <w:ilvl w:val="0"/>
          <w:numId w:val="27"/>
        </w:numPr>
        <w:rPr>
          <w:rFonts w:ascii="Aptos" w:hAnsi="Aptos"/>
          <w:lang w:eastAsia="en-US"/>
        </w:rPr>
      </w:pPr>
      <w:r w:rsidRPr="00C451C8">
        <w:rPr>
          <w:rFonts w:ascii="Aptos" w:hAnsi="Aptos"/>
          <w:lang w:eastAsia="en-US"/>
        </w:rPr>
        <w:t>Following completion of the Bi-annual reporting process the department will seek the return of any identified unexpended funds.</w:t>
      </w:r>
    </w:p>
    <w:p w14:paraId="5547B9A1" w14:textId="77777777" w:rsidR="007737B5" w:rsidRPr="00C451C8" w:rsidRDefault="007737B5" w:rsidP="007737B5">
      <w:pPr>
        <w:pStyle w:val="ListBullet"/>
        <w:numPr>
          <w:ilvl w:val="0"/>
          <w:numId w:val="27"/>
        </w:numPr>
        <w:rPr>
          <w:rFonts w:ascii="Aptos" w:hAnsi="Aptos"/>
          <w:lang w:eastAsia="en-US"/>
        </w:rPr>
      </w:pPr>
      <w:r w:rsidRPr="00C451C8">
        <w:rPr>
          <w:rFonts w:ascii="Aptos" w:hAnsi="Aptos"/>
          <w:lang w:eastAsia="en-US"/>
        </w:rPr>
        <w:t>Unexpended funds to be returned via transfer/payment of an invoice issued by the department to the relevant financial team/officer.</w:t>
      </w:r>
    </w:p>
    <w:p w14:paraId="3BA92DAE" w14:textId="77777777" w:rsidR="007737B5" w:rsidRPr="00C451C8" w:rsidRDefault="007737B5" w:rsidP="007737B5">
      <w:pPr>
        <w:pStyle w:val="Heading2"/>
        <w:numPr>
          <w:ilvl w:val="1"/>
          <w:numId w:val="26"/>
        </w:numPr>
        <w:tabs>
          <w:tab w:val="num" w:pos="851"/>
        </w:tabs>
        <w:ind w:left="851" w:hanging="851"/>
        <w:rPr>
          <w:rFonts w:ascii="Aptos" w:hAnsi="Aptos"/>
        </w:rPr>
      </w:pPr>
      <w:bookmarkStart w:id="48" w:name="_Toc207710353"/>
      <w:bookmarkStart w:id="49" w:name="_Toc468355185"/>
      <w:bookmarkStart w:id="50" w:name="_Toc422746467"/>
      <w:bookmarkStart w:id="51" w:name="_Toc2164252"/>
      <w:r w:rsidRPr="00C451C8">
        <w:rPr>
          <w:rFonts w:ascii="Aptos" w:hAnsi="Aptos"/>
        </w:rPr>
        <w:t>Returning technology</w:t>
      </w:r>
      <w:bookmarkEnd w:id="48"/>
    </w:p>
    <w:bookmarkEnd w:id="49"/>
    <w:bookmarkEnd w:id="50"/>
    <w:bookmarkEnd w:id="51"/>
    <w:p w14:paraId="644A3E08" w14:textId="77777777" w:rsidR="007737B5" w:rsidRPr="00C451C8" w:rsidRDefault="007737B5" w:rsidP="007737B5">
      <w:pPr>
        <w:pStyle w:val="ListBullet"/>
        <w:rPr>
          <w:rFonts w:ascii="Aptos" w:hAnsi="Aptos"/>
          <w:lang w:eastAsia="en-US"/>
        </w:rPr>
      </w:pPr>
      <w:r w:rsidRPr="00C451C8">
        <w:rPr>
          <w:rFonts w:ascii="Aptos" w:hAnsi="Aptos"/>
          <w:lang w:eastAsia="en-US"/>
        </w:rPr>
        <w:t>SDS will arrange and pay for courier return of technology items, unless otherwise arranged. Please contact SDS as soon as items are ready to be returned and provide the following details:</w:t>
      </w:r>
    </w:p>
    <w:p w14:paraId="0F3AA03C" w14:textId="77777777" w:rsidR="007737B5" w:rsidRPr="00C451C8" w:rsidRDefault="007737B5" w:rsidP="007737B5">
      <w:pPr>
        <w:pStyle w:val="ListBullet"/>
        <w:numPr>
          <w:ilvl w:val="1"/>
          <w:numId w:val="1"/>
        </w:numPr>
        <w:rPr>
          <w:rFonts w:ascii="Aptos" w:hAnsi="Aptos"/>
          <w:lang w:eastAsia="zh-CN"/>
        </w:rPr>
      </w:pPr>
      <w:r w:rsidRPr="00C451C8">
        <w:rPr>
          <w:rFonts w:ascii="Aptos" w:hAnsi="Aptos"/>
        </w:rPr>
        <w:t>number of parcels</w:t>
      </w:r>
    </w:p>
    <w:p w14:paraId="5721E3C7" w14:textId="77777777" w:rsidR="007737B5" w:rsidRPr="00C451C8" w:rsidRDefault="007737B5" w:rsidP="007737B5">
      <w:pPr>
        <w:pStyle w:val="ListBullet"/>
        <w:numPr>
          <w:ilvl w:val="1"/>
          <w:numId w:val="1"/>
        </w:numPr>
        <w:rPr>
          <w:rFonts w:ascii="Aptos" w:hAnsi="Aptos"/>
        </w:rPr>
      </w:pPr>
      <w:r w:rsidRPr="00C451C8">
        <w:rPr>
          <w:rFonts w:ascii="Aptos" w:hAnsi="Aptos"/>
        </w:rPr>
        <w:t>brief description of contents of each parcel</w:t>
      </w:r>
    </w:p>
    <w:p w14:paraId="4A2C3C28" w14:textId="77777777" w:rsidR="007737B5" w:rsidRPr="00C451C8" w:rsidRDefault="007737B5" w:rsidP="007737B5">
      <w:pPr>
        <w:pStyle w:val="ListBullet"/>
        <w:numPr>
          <w:ilvl w:val="1"/>
          <w:numId w:val="1"/>
        </w:numPr>
        <w:rPr>
          <w:rFonts w:ascii="Aptos" w:hAnsi="Aptos"/>
        </w:rPr>
      </w:pPr>
      <w:r w:rsidRPr="00C451C8">
        <w:rPr>
          <w:rFonts w:ascii="Aptos" w:hAnsi="Aptos"/>
        </w:rPr>
        <w:t>weight, length, width and height of each parcel, including packaging</w:t>
      </w:r>
    </w:p>
    <w:p w14:paraId="1E0CB5D5" w14:textId="77777777" w:rsidR="007737B5" w:rsidRPr="00C451C8" w:rsidRDefault="007737B5" w:rsidP="007737B5">
      <w:pPr>
        <w:pStyle w:val="ListBullet"/>
        <w:numPr>
          <w:ilvl w:val="1"/>
          <w:numId w:val="1"/>
        </w:numPr>
        <w:rPr>
          <w:rFonts w:ascii="Aptos" w:hAnsi="Aptos"/>
        </w:rPr>
      </w:pPr>
      <w:r w:rsidRPr="00C451C8">
        <w:rPr>
          <w:rFonts w:ascii="Aptos" w:hAnsi="Aptos"/>
        </w:rPr>
        <w:t>date parcels will be ready for courier collection and the times they can be collected</w:t>
      </w:r>
    </w:p>
    <w:p w14:paraId="68A8640C" w14:textId="77777777" w:rsidR="007737B5" w:rsidRPr="00C451C8" w:rsidRDefault="007737B5" w:rsidP="007737B5">
      <w:pPr>
        <w:pStyle w:val="ListBullet"/>
        <w:numPr>
          <w:ilvl w:val="1"/>
          <w:numId w:val="1"/>
        </w:numPr>
        <w:rPr>
          <w:rFonts w:ascii="Aptos" w:hAnsi="Aptos"/>
        </w:rPr>
      </w:pPr>
      <w:r w:rsidRPr="00C451C8">
        <w:rPr>
          <w:rFonts w:ascii="Aptos" w:hAnsi="Aptos"/>
        </w:rPr>
        <w:t>contact person, phone number, email and physical address, including block or building name plus any special instructions for the courier.</w:t>
      </w:r>
    </w:p>
    <w:p w14:paraId="1F131EFE" w14:textId="77777777" w:rsidR="007737B5" w:rsidRPr="00C451C8" w:rsidRDefault="007737B5" w:rsidP="007737B5">
      <w:pPr>
        <w:pStyle w:val="ListBullet"/>
        <w:rPr>
          <w:rFonts w:ascii="Aptos" w:hAnsi="Aptos"/>
          <w:lang w:eastAsia="en-US"/>
        </w:rPr>
      </w:pPr>
      <w:r w:rsidRPr="00C451C8">
        <w:rPr>
          <w:rFonts w:ascii="Aptos" w:hAnsi="Aptos"/>
          <w:lang w:eastAsia="en-US"/>
        </w:rPr>
        <w:t>SDS will email courier labels for you to attach to parcels.</w:t>
      </w:r>
    </w:p>
    <w:p w14:paraId="3B98A8B3" w14:textId="77777777" w:rsidR="007737B5" w:rsidRPr="00C451C8" w:rsidRDefault="007737B5" w:rsidP="007737B5">
      <w:pPr>
        <w:pStyle w:val="ListBullet"/>
        <w:rPr>
          <w:rFonts w:ascii="Aptos" w:hAnsi="Aptos"/>
          <w:lang w:eastAsia="en-US"/>
        </w:rPr>
      </w:pPr>
      <w:r w:rsidRPr="00C451C8">
        <w:rPr>
          <w:rFonts w:ascii="Aptos" w:hAnsi="Aptos"/>
          <w:lang w:eastAsia="en-US"/>
        </w:rPr>
        <w:t>Prior to returning the technology please ensure:</w:t>
      </w:r>
    </w:p>
    <w:p w14:paraId="6A8CBE3B" w14:textId="77777777" w:rsidR="007737B5" w:rsidRPr="00C451C8" w:rsidRDefault="007737B5" w:rsidP="007737B5">
      <w:pPr>
        <w:pStyle w:val="ListBullet"/>
        <w:numPr>
          <w:ilvl w:val="1"/>
          <w:numId w:val="1"/>
        </w:numPr>
        <w:rPr>
          <w:rFonts w:ascii="Aptos" w:hAnsi="Aptos"/>
          <w:lang w:eastAsia="zh-CN"/>
        </w:rPr>
      </w:pPr>
      <w:r w:rsidRPr="00C451C8">
        <w:rPr>
          <w:rFonts w:ascii="Aptos" w:hAnsi="Aptos"/>
        </w:rPr>
        <w:t>any personal details or work is deleted from the technology</w:t>
      </w:r>
    </w:p>
    <w:p w14:paraId="346ACA28" w14:textId="77777777" w:rsidR="007737B5" w:rsidRPr="00C451C8" w:rsidRDefault="007737B5" w:rsidP="007737B5">
      <w:pPr>
        <w:pStyle w:val="ListBullet"/>
        <w:numPr>
          <w:ilvl w:val="1"/>
          <w:numId w:val="1"/>
        </w:numPr>
        <w:rPr>
          <w:rFonts w:ascii="Aptos" w:hAnsi="Aptos"/>
        </w:rPr>
      </w:pPr>
      <w:r w:rsidRPr="00C451C8">
        <w:rPr>
          <w:rFonts w:ascii="Aptos" w:hAnsi="Aptos"/>
        </w:rPr>
        <w:t>software has been deactivated and fully uninstalled (including deletion from the recycle bin) from any device owned by you, your organisation and the student.</w:t>
      </w:r>
    </w:p>
    <w:p w14:paraId="51427323" w14:textId="77777777" w:rsidR="007737B5" w:rsidRPr="00C451C8" w:rsidRDefault="007737B5" w:rsidP="007737B5">
      <w:pPr>
        <w:pStyle w:val="Heading2"/>
        <w:numPr>
          <w:ilvl w:val="1"/>
          <w:numId w:val="26"/>
        </w:numPr>
        <w:tabs>
          <w:tab w:val="num" w:pos="851"/>
        </w:tabs>
        <w:ind w:left="851" w:hanging="851"/>
        <w:rPr>
          <w:rFonts w:ascii="Aptos" w:hAnsi="Aptos"/>
        </w:rPr>
      </w:pPr>
      <w:bookmarkStart w:id="52" w:name="_Toc468355187"/>
      <w:bookmarkStart w:id="53" w:name="_Toc422746469"/>
      <w:bookmarkStart w:id="54" w:name="_Toc2164254"/>
      <w:bookmarkStart w:id="55" w:name="_Toc207710354"/>
      <w:r w:rsidRPr="00C451C8">
        <w:rPr>
          <w:rFonts w:ascii="Aptos" w:hAnsi="Aptos"/>
        </w:rPr>
        <w:t>Feedback</w:t>
      </w:r>
      <w:bookmarkEnd w:id="52"/>
      <w:bookmarkEnd w:id="53"/>
      <w:bookmarkEnd w:id="54"/>
      <w:bookmarkEnd w:id="55"/>
    </w:p>
    <w:p w14:paraId="7D47F9C6" w14:textId="77777777" w:rsidR="007737B5" w:rsidRPr="00C451C8" w:rsidRDefault="007737B5" w:rsidP="007737B5">
      <w:pPr>
        <w:pStyle w:val="ListBullet"/>
        <w:rPr>
          <w:rFonts w:ascii="Aptos" w:hAnsi="Aptos"/>
          <w:lang w:eastAsia="en-US"/>
        </w:rPr>
      </w:pPr>
      <w:r w:rsidRPr="00C451C8">
        <w:rPr>
          <w:rFonts w:ascii="Aptos" w:hAnsi="Aptos"/>
          <w:lang w:eastAsia="en-US"/>
        </w:rPr>
        <w:t>Feedback about SDS services from SAS, students and employees working with your students is encouraged and can be submitted at any time. Feedback helps to improve the quality and delivery of SDS services.</w:t>
      </w:r>
    </w:p>
    <w:p w14:paraId="4D462EFE" w14:textId="77777777" w:rsidR="007737B5" w:rsidRPr="00C451C8" w:rsidRDefault="007737B5" w:rsidP="007737B5">
      <w:pPr>
        <w:pStyle w:val="ListBullet"/>
        <w:rPr>
          <w:rFonts w:ascii="Aptos" w:hAnsi="Aptos"/>
          <w:lang w:eastAsia="en-US"/>
        </w:rPr>
      </w:pPr>
      <w:r w:rsidRPr="00C451C8">
        <w:rPr>
          <w:rFonts w:ascii="Aptos" w:hAnsi="Aptos"/>
          <w:lang w:eastAsia="en-US"/>
        </w:rPr>
        <w:t>SDS may also periodically request feedback.</w:t>
      </w:r>
    </w:p>
    <w:p w14:paraId="163E59F9" w14:textId="77777777" w:rsidR="007737B5" w:rsidRPr="00C451C8" w:rsidRDefault="007737B5" w:rsidP="007737B5">
      <w:pPr>
        <w:pStyle w:val="ListBullet"/>
        <w:numPr>
          <w:ilvl w:val="0"/>
          <w:numId w:val="0"/>
        </w:numPr>
        <w:rPr>
          <w:rFonts w:ascii="Aptos" w:hAnsi="Aptos"/>
        </w:rPr>
      </w:pPr>
    </w:p>
    <w:p w14:paraId="710E5B7A" w14:textId="77777777" w:rsidR="007737B5" w:rsidRPr="00C451C8" w:rsidRDefault="007737B5" w:rsidP="007737B5">
      <w:pPr>
        <w:pStyle w:val="ListBullet"/>
        <w:numPr>
          <w:ilvl w:val="0"/>
          <w:numId w:val="0"/>
        </w:numPr>
        <w:rPr>
          <w:rFonts w:ascii="Aptos" w:hAnsi="Aptos"/>
        </w:rPr>
      </w:pPr>
    </w:p>
    <w:p w14:paraId="5C6BE3CF" w14:textId="13DEB364" w:rsidR="007737B5" w:rsidRPr="00C451C8" w:rsidRDefault="007737B5" w:rsidP="007737B5">
      <w:pPr>
        <w:pStyle w:val="BodyText"/>
        <w:rPr>
          <w:rFonts w:ascii="Aptos" w:hAnsi="Aptos"/>
        </w:rPr>
        <w:sectPr w:rsidR="007737B5" w:rsidRPr="00C451C8" w:rsidSect="007737B5">
          <w:headerReference w:type="default" r:id="rId16"/>
          <w:footerReference w:type="default" r:id="rId17"/>
          <w:pgSz w:w="11906" w:h="16838"/>
          <w:pgMar w:top="1440" w:right="1440" w:bottom="1440" w:left="1440" w:header="708" w:footer="708" w:gutter="0"/>
          <w:cols w:space="708"/>
          <w:docGrid w:linePitch="360"/>
        </w:sectPr>
      </w:pPr>
    </w:p>
    <w:p w14:paraId="320F572A" w14:textId="77777777" w:rsidR="007737B5" w:rsidRPr="00C451C8" w:rsidRDefault="007737B5" w:rsidP="007737B5">
      <w:pPr>
        <w:pStyle w:val="ListBullet"/>
        <w:numPr>
          <w:ilvl w:val="0"/>
          <w:numId w:val="0"/>
        </w:numPr>
        <w:rPr>
          <w:rFonts w:ascii="Aptos" w:hAnsi="Aptos"/>
        </w:rPr>
      </w:pPr>
    </w:p>
    <w:p w14:paraId="4FFAB116" w14:textId="77777777" w:rsidR="007737B5" w:rsidRPr="00C451C8" w:rsidRDefault="007737B5" w:rsidP="007737B5">
      <w:pPr>
        <w:pStyle w:val="Heading1"/>
        <w:rPr>
          <w:rFonts w:ascii="Aptos" w:eastAsia="MS Gothic" w:hAnsi="Aptos"/>
        </w:rPr>
      </w:pPr>
      <w:bookmarkStart w:id="56" w:name="_Toc207710355"/>
      <w:r w:rsidRPr="00C451C8">
        <w:rPr>
          <w:rFonts w:ascii="Aptos" w:hAnsi="Aptos"/>
        </w:rPr>
        <w:t>Appendix 1 – Application process</w:t>
      </w:r>
      <w:bookmarkEnd w:id="56"/>
      <w:r w:rsidRPr="00C451C8">
        <w:rPr>
          <w:rFonts w:ascii="Aptos" w:hAnsi="Aptos"/>
        </w:rPr>
        <w:t xml:space="preserve"> </w:t>
      </w:r>
    </w:p>
    <w:tbl>
      <w:tblPr>
        <w:tblStyle w:val="GridTable1Light"/>
        <w:tblW w:w="13782" w:type="dxa"/>
        <w:tblBorders>
          <w:top w:val="single" w:sz="12" w:space="0" w:color="403000" w:themeColor="accent4" w:themeShade="40"/>
          <w:left w:val="single" w:sz="12" w:space="0" w:color="403000" w:themeColor="accent4" w:themeShade="40"/>
          <w:bottom w:val="single" w:sz="12" w:space="0" w:color="403000" w:themeColor="accent4" w:themeShade="40"/>
          <w:right w:val="single" w:sz="12" w:space="0" w:color="403000" w:themeColor="accent4" w:themeShade="40"/>
          <w:insideH w:val="single" w:sz="12" w:space="0" w:color="403000" w:themeColor="accent4" w:themeShade="40"/>
          <w:insideV w:val="single" w:sz="12" w:space="0" w:color="403000" w:themeColor="accent4" w:themeShade="40"/>
        </w:tblBorders>
        <w:shd w:val="clear" w:color="auto" w:fill="EAEDF1" w:themeFill="text2" w:themeFillTint="1A"/>
        <w:tblLook w:val="04A0" w:firstRow="1" w:lastRow="0" w:firstColumn="1" w:lastColumn="0" w:noHBand="0" w:noVBand="1"/>
      </w:tblPr>
      <w:tblGrid>
        <w:gridCol w:w="4738"/>
        <w:gridCol w:w="9044"/>
      </w:tblGrid>
      <w:tr w:rsidR="007737B5" w:rsidRPr="00C451C8" w14:paraId="35AA7413" w14:textId="77777777" w:rsidTr="00EA0BC2">
        <w:trPr>
          <w:cnfStyle w:val="100000000000" w:firstRow="1" w:lastRow="0" w:firstColumn="0" w:lastColumn="0" w:oddVBand="0" w:evenVBand="0" w:oddHBand="0"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4738" w:type="dxa"/>
            <w:tcBorders>
              <w:bottom w:val="single" w:sz="12" w:space="0" w:color="403000" w:themeColor="accent4" w:themeShade="40"/>
            </w:tcBorders>
            <w:shd w:val="clear" w:color="auto" w:fill="D9E2F3" w:themeFill="accent1" w:themeFillTint="33"/>
          </w:tcPr>
          <w:p w14:paraId="5F686CD6" w14:textId="77777777" w:rsidR="007737B5" w:rsidRPr="00C451C8" w:rsidRDefault="007737B5" w:rsidP="00D3770A">
            <w:pPr>
              <w:pStyle w:val="BodyText"/>
              <w:rPr>
                <w:rFonts w:ascii="Aptos" w:eastAsia="MS Mincho" w:hAnsi="Aptos"/>
              </w:rPr>
            </w:pPr>
            <w:r w:rsidRPr="00C451C8">
              <w:rPr>
                <w:rFonts w:ascii="Aptos" w:eastAsia="MS Mincho" w:hAnsi="Aptos"/>
              </w:rPr>
              <w:t>STEP 1: APPLICATION</w:t>
            </w:r>
          </w:p>
        </w:tc>
        <w:tc>
          <w:tcPr>
            <w:tcW w:w="9044" w:type="dxa"/>
            <w:tcBorders>
              <w:bottom w:val="single" w:sz="12" w:space="0" w:color="403000" w:themeColor="accent4" w:themeShade="40"/>
            </w:tcBorders>
            <w:shd w:val="clear" w:color="auto" w:fill="D9E2F3" w:themeFill="accent1" w:themeFillTint="33"/>
          </w:tcPr>
          <w:p w14:paraId="44243166" w14:textId="77777777" w:rsidR="007737B5" w:rsidRPr="00C451C8" w:rsidRDefault="007737B5" w:rsidP="00D3770A">
            <w:pPr>
              <w:pStyle w:val="BodyText"/>
              <w:numPr>
                <w:ilvl w:val="0"/>
                <w:numId w:val="28"/>
              </w:numPr>
              <w:cnfStyle w:val="100000000000" w:firstRow="1" w:lastRow="0" w:firstColumn="0" w:lastColumn="0" w:oddVBand="0" w:evenVBand="0" w:oddHBand="0" w:evenHBand="0" w:firstRowFirstColumn="0" w:firstRowLastColumn="0" w:lastRowFirstColumn="0" w:lastRowLastColumn="0"/>
              <w:rPr>
                <w:rFonts w:ascii="Aptos" w:eastAsia="MS Mincho" w:hAnsi="Aptos"/>
              </w:rPr>
            </w:pPr>
            <w:r w:rsidRPr="00C451C8">
              <w:rPr>
                <w:rFonts w:ascii="Aptos" w:eastAsia="MS Mincho" w:hAnsi="Aptos"/>
                <w:b w:val="0"/>
                <w:bCs w:val="0"/>
              </w:rPr>
              <w:t>Skills Assure Supplier (SAS) identifies need for student support and/or student presents to SAS seeking assistance</w:t>
            </w:r>
          </w:p>
          <w:p w14:paraId="3B87DFDC" w14:textId="77777777" w:rsidR="007737B5" w:rsidRPr="00C451C8" w:rsidRDefault="007737B5" w:rsidP="00D3770A">
            <w:pPr>
              <w:pStyle w:val="BodyText"/>
              <w:numPr>
                <w:ilvl w:val="0"/>
                <w:numId w:val="28"/>
              </w:numPr>
              <w:cnfStyle w:val="100000000000" w:firstRow="1" w:lastRow="0" w:firstColumn="0" w:lastColumn="0" w:oddVBand="0" w:evenVBand="0" w:oddHBand="0" w:evenHBand="0" w:firstRowFirstColumn="0" w:firstRowLastColumn="0" w:lastRowFirstColumn="0" w:lastRowLastColumn="0"/>
              <w:rPr>
                <w:rFonts w:ascii="Aptos" w:eastAsia="MS Mincho" w:hAnsi="Aptos"/>
              </w:rPr>
            </w:pPr>
            <w:r w:rsidRPr="00C451C8">
              <w:rPr>
                <w:rFonts w:ascii="Aptos" w:eastAsia="MS Mincho" w:hAnsi="Aptos"/>
                <w:b w:val="0"/>
                <w:bCs w:val="0"/>
              </w:rPr>
              <w:t>SAS assess eligibility to meet SDS Program Guidelines</w:t>
            </w:r>
          </w:p>
          <w:p w14:paraId="66A3D189" w14:textId="77777777" w:rsidR="007737B5" w:rsidRPr="00C451C8" w:rsidRDefault="007737B5" w:rsidP="00D3770A">
            <w:pPr>
              <w:pStyle w:val="BodyText"/>
              <w:numPr>
                <w:ilvl w:val="0"/>
                <w:numId w:val="28"/>
              </w:numPr>
              <w:cnfStyle w:val="100000000000" w:firstRow="1" w:lastRow="0" w:firstColumn="0" w:lastColumn="0" w:oddVBand="0" w:evenVBand="0" w:oddHBand="0" w:evenHBand="0" w:firstRowFirstColumn="0" w:firstRowLastColumn="0" w:lastRowFirstColumn="0" w:lastRowLastColumn="0"/>
              <w:rPr>
                <w:rFonts w:ascii="Aptos" w:eastAsia="MS Mincho" w:hAnsi="Aptos"/>
                <w:b w:val="0"/>
                <w:bCs w:val="0"/>
              </w:rPr>
            </w:pPr>
            <w:r w:rsidRPr="00C451C8">
              <w:rPr>
                <w:rFonts w:ascii="Aptos" w:eastAsia="MS Mincho" w:hAnsi="Aptos"/>
                <w:b w:val="0"/>
                <w:bCs w:val="0"/>
              </w:rPr>
              <w:t>SDS support must assist completion of Diploma or Certificate and provide pathway to employment</w:t>
            </w:r>
          </w:p>
        </w:tc>
      </w:tr>
      <w:tr w:rsidR="007737B5" w:rsidRPr="00C451C8" w14:paraId="0F83F8BA" w14:textId="77777777" w:rsidTr="00EA0BC2">
        <w:trPr>
          <w:trHeight w:val="856"/>
        </w:trPr>
        <w:tc>
          <w:tcPr>
            <w:cnfStyle w:val="001000000000" w:firstRow="0" w:lastRow="0" w:firstColumn="1" w:lastColumn="0" w:oddVBand="0" w:evenVBand="0" w:oddHBand="0" w:evenHBand="0" w:firstRowFirstColumn="0" w:firstRowLastColumn="0" w:lastRowFirstColumn="0" w:lastRowLastColumn="0"/>
            <w:tcW w:w="4738" w:type="dxa"/>
            <w:shd w:val="clear" w:color="auto" w:fill="EDEDED" w:themeFill="accent3" w:themeFillTint="33"/>
          </w:tcPr>
          <w:p w14:paraId="6733C7AE" w14:textId="77777777" w:rsidR="007737B5" w:rsidRPr="00C451C8" w:rsidRDefault="007737B5" w:rsidP="00D3770A">
            <w:pPr>
              <w:pStyle w:val="BodyText"/>
              <w:rPr>
                <w:rFonts w:ascii="Aptos" w:eastAsia="MS Mincho" w:hAnsi="Aptos"/>
              </w:rPr>
            </w:pPr>
            <w:r w:rsidRPr="00C451C8">
              <w:rPr>
                <w:rFonts w:ascii="Aptos" w:eastAsia="MS Mincho" w:hAnsi="Aptos"/>
              </w:rPr>
              <w:t>STEP 2: COMPLETE APPLICATION</w:t>
            </w:r>
          </w:p>
        </w:tc>
        <w:tc>
          <w:tcPr>
            <w:tcW w:w="9044" w:type="dxa"/>
            <w:shd w:val="clear" w:color="auto" w:fill="EDEDED" w:themeFill="accent3" w:themeFillTint="33"/>
          </w:tcPr>
          <w:p w14:paraId="488042B1" w14:textId="77777777" w:rsidR="007737B5" w:rsidRPr="00C451C8" w:rsidRDefault="007737B5" w:rsidP="00D3770A">
            <w:pPr>
              <w:pStyle w:val="BodyText"/>
              <w:numPr>
                <w:ilvl w:val="0"/>
                <w:numId w:val="29"/>
              </w:numPr>
              <w:spacing w:line="276" w:lineRule="auto"/>
              <w:cnfStyle w:val="000000000000" w:firstRow="0" w:lastRow="0" w:firstColumn="0" w:lastColumn="0" w:oddVBand="0" w:evenVBand="0" w:oddHBand="0" w:evenHBand="0" w:firstRowFirstColumn="0" w:firstRowLastColumn="0" w:lastRowFirstColumn="0" w:lastRowLastColumn="0"/>
              <w:rPr>
                <w:rFonts w:ascii="Aptos" w:eastAsia="MS Mincho" w:hAnsi="Aptos"/>
              </w:rPr>
            </w:pPr>
            <w:r w:rsidRPr="00C451C8">
              <w:rPr>
                <w:rFonts w:ascii="Aptos" w:eastAsia="MS Mincho" w:hAnsi="Aptos"/>
              </w:rPr>
              <w:t>SAS downloads and completes SDS application form</w:t>
            </w:r>
          </w:p>
          <w:p w14:paraId="7B8B4A07" w14:textId="77777777" w:rsidR="007737B5" w:rsidRPr="00C451C8" w:rsidRDefault="007737B5" w:rsidP="00D3770A">
            <w:pPr>
              <w:pStyle w:val="BodyText"/>
              <w:numPr>
                <w:ilvl w:val="0"/>
                <w:numId w:val="29"/>
              </w:numPr>
              <w:spacing w:line="276" w:lineRule="auto"/>
              <w:cnfStyle w:val="000000000000" w:firstRow="0" w:lastRow="0" w:firstColumn="0" w:lastColumn="0" w:oddVBand="0" w:evenVBand="0" w:oddHBand="0" w:evenHBand="0" w:firstRowFirstColumn="0" w:firstRowLastColumn="0" w:lastRowFirstColumn="0" w:lastRowLastColumn="0"/>
              <w:rPr>
                <w:rFonts w:ascii="Aptos" w:eastAsia="MS Mincho" w:hAnsi="Aptos"/>
              </w:rPr>
            </w:pPr>
            <w:r w:rsidRPr="00C451C8">
              <w:rPr>
                <w:rFonts w:ascii="Aptos" w:eastAsia="MS Mincho" w:hAnsi="Aptos"/>
              </w:rPr>
              <w:t>SAS will be required to obtain student details and signature to enable progression</w:t>
            </w:r>
          </w:p>
          <w:p w14:paraId="29A3E48F" w14:textId="77777777" w:rsidR="007737B5" w:rsidRPr="00C451C8" w:rsidRDefault="007737B5" w:rsidP="00D3770A">
            <w:pPr>
              <w:pStyle w:val="BodyText"/>
              <w:numPr>
                <w:ilvl w:val="0"/>
                <w:numId w:val="29"/>
              </w:numPr>
              <w:spacing w:line="276" w:lineRule="auto"/>
              <w:cnfStyle w:val="000000000000" w:firstRow="0" w:lastRow="0" w:firstColumn="0" w:lastColumn="0" w:oddVBand="0" w:evenVBand="0" w:oddHBand="0" w:evenHBand="0" w:firstRowFirstColumn="0" w:firstRowLastColumn="0" w:lastRowFirstColumn="0" w:lastRowLastColumn="0"/>
              <w:rPr>
                <w:rFonts w:ascii="Aptos" w:eastAsia="MS Mincho" w:hAnsi="Aptos"/>
              </w:rPr>
            </w:pPr>
            <w:r w:rsidRPr="00C451C8">
              <w:rPr>
                <w:rFonts w:ascii="Aptos" w:eastAsia="MS Mincho" w:hAnsi="Aptos"/>
              </w:rPr>
              <w:t xml:space="preserve">SAS submits completed application to </w:t>
            </w:r>
            <w:hyperlink r:id="rId18" w:history="1">
              <w:r w:rsidRPr="00C451C8">
                <w:rPr>
                  <w:rStyle w:val="Hyperlink"/>
                  <w:rFonts w:ascii="Aptos" w:eastAsia="MS Mincho" w:hAnsi="Aptos"/>
                </w:rPr>
                <w:t>SkillsDisabilitySupport@desbt.qld.gov.au</w:t>
              </w:r>
            </w:hyperlink>
            <w:r w:rsidRPr="00C451C8">
              <w:rPr>
                <w:rFonts w:ascii="Aptos" w:eastAsia="MS Mincho" w:hAnsi="Aptos"/>
              </w:rPr>
              <w:t xml:space="preserve"> mailbox for assessment</w:t>
            </w:r>
          </w:p>
        </w:tc>
      </w:tr>
      <w:tr w:rsidR="007737B5" w:rsidRPr="00C451C8" w14:paraId="22938BED" w14:textId="77777777" w:rsidTr="00EA0BC2">
        <w:trPr>
          <w:trHeight w:val="830"/>
        </w:trPr>
        <w:tc>
          <w:tcPr>
            <w:cnfStyle w:val="001000000000" w:firstRow="0" w:lastRow="0" w:firstColumn="1" w:lastColumn="0" w:oddVBand="0" w:evenVBand="0" w:oddHBand="0" w:evenHBand="0" w:firstRowFirstColumn="0" w:firstRowLastColumn="0" w:lastRowFirstColumn="0" w:lastRowLastColumn="0"/>
            <w:tcW w:w="4738" w:type="dxa"/>
            <w:tcBorders>
              <w:bottom w:val="single" w:sz="12" w:space="0" w:color="403000" w:themeColor="accent4" w:themeShade="40"/>
            </w:tcBorders>
            <w:shd w:val="clear" w:color="auto" w:fill="D9E2F3" w:themeFill="accent1" w:themeFillTint="33"/>
          </w:tcPr>
          <w:p w14:paraId="54E9A294" w14:textId="77777777" w:rsidR="007737B5" w:rsidRPr="00C451C8" w:rsidRDefault="007737B5" w:rsidP="00D3770A">
            <w:pPr>
              <w:pStyle w:val="BodyText"/>
              <w:rPr>
                <w:rFonts w:ascii="Aptos" w:eastAsia="MS Mincho" w:hAnsi="Aptos"/>
              </w:rPr>
            </w:pPr>
            <w:r w:rsidRPr="00C451C8">
              <w:rPr>
                <w:rFonts w:ascii="Aptos" w:eastAsia="MS Mincho" w:hAnsi="Aptos"/>
              </w:rPr>
              <w:t>STEP 3: ASSESSMENT</w:t>
            </w:r>
          </w:p>
        </w:tc>
        <w:tc>
          <w:tcPr>
            <w:tcW w:w="9044" w:type="dxa"/>
            <w:tcBorders>
              <w:bottom w:val="single" w:sz="12" w:space="0" w:color="403000" w:themeColor="accent4" w:themeShade="40"/>
            </w:tcBorders>
            <w:shd w:val="clear" w:color="auto" w:fill="D9E2F3" w:themeFill="accent1" w:themeFillTint="33"/>
          </w:tcPr>
          <w:p w14:paraId="220EEBA6" w14:textId="77777777" w:rsidR="007737B5" w:rsidRPr="00C451C8" w:rsidRDefault="007737B5" w:rsidP="00D3770A">
            <w:pPr>
              <w:pStyle w:val="BodyText"/>
              <w:numPr>
                <w:ilvl w:val="0"/>
                <w:numId w:val="29"/>
              </w:numPr>
              <w:spacing w:before="120" w:line="276" w:lineRule="auto"/>
              <w:cnfStyle w:val="000000000000" w:firstRow="0" w:lastRow="0" w:firstColumn="0" w:lastColumn="0" w:oddVBand="0" w:evenVBand="0" w:oddHBand="0" w:evenHBand="0" w:firstRowFirstColumn="0" w:firstRowLastColumn="0" w:lastRowFirstColumn="0" w:lastRowLastColumn="0"/>
              <w:rPr>
                <w:rFonts w:ascii="Aptos" w:eastAsia="MS Mincho" w:hAnsi="Aptos"/>
              </w:rPr>
            </w:pPr>
            <w:r w:rsidRPr="00C451C8">
              <w:rPr>
                <w:rFonts w:ascii="Aptos" w:eastAsia="MS Mincho" w:hAnsi="Aptos"/>
              </w:rPr>
              <w:t>SDS team reviews application against the SDS Program Guidelines</w:t>
            </w:r>
          </w:p>
          <w:p w14:paraId="3172F7A7" w14:textId="77777777" w:rsidR="007737B5" w:rsidRPr="00C451C8" w:rsidRDefault="007737B5" w:rsidP="00D3770A">
            <w:pPr>
              <w:pStyle w:val="BodyText"/>
              <w:numPr>
                <w:ilvl w:val="0"/>
                <w:numId w:val="29"/>
              </w:numPr>
              <w:spacing w:before="120" w:line="276" w:lineRule="auto"/>
              <w:cnfStyle w:val="000000000000" w:firstRow="0" w:lastRow="0" w:firstColumn="0" w:lastColumn="0" w:oddVBand="0" w:evenVBand="0" w:oddHBand="0" w:evenHBand="0" w:firstRowFirstColumn="0" w:firstRowLastColumn="0" w:lastRowFirstColumn="0" w:lastRowLastColumn="0"/>
              <w:rPr>
                <w:rFonts w:ascii="Aptos" w:eastAsia="MS Mincho" w:hAnsi="Aptos"/>
              </w:rPr>
            </w:pPr>
            <w:r w:rsidRPr="00C451C8">
              <w:rPr>
                <w:rFonts w:ascii="Aptos" w:eastAsia="MS Mincho" w:hAnsi="Aptos"/>
              </w:rPr>
              <w:t>SDS team considers funding and technology requirements</w:t>
            </w:r>
          </w:p>
        </w:tc>
      </w:tr>
      <w:tr w:rsidR="007737B5" w:rsidRPr="00C451C8" w14:paraId="3CF89514" w14:textId="77777777" w:rsidTr="00EA0BC2">
        <w:trPr>
          <w:trHeight w:val="830"/>
        </w:trPr>
        <w:tc>
          <w:tcPr>
            <w:cnfStyle w:val="001000000000" w:firstRow="0" w:lastRow="0" w:firstColumn="1" w:lastColumn="0" w:oddVBand="0" w:evenVBand="0" w:oddHBand="0" w:evenHBand="0" w:firstRowFirstColumn="0" w:firstRowLastColumn="0" w:lastRowFirstColumn="0" w:lastRowLastColumn="0"/>
            <w:tcW w:w="4738" w:type="dxa"/>
            <w:shd w:val="clear" w:color="auto" w:fill="EDEDED" w:themeFill="accent3" w:themeFillTint="33"/>
          </w:tcPr>
          <w:p w14:paraId="116BB6CD" w14:textId="77777777" w:rsidR="007737B5" w:rsidRPr="00C451C8" w:rsidRDefault="007737B5" w:rsidP="00D3770A">
            <w:pPr>
              <w:pStyle w:val="BodyText"/>
              <w:rPr>
                <w:rFonts w:ascii="Aptos" w:eastAsia="MS Mincho" w:hAnsi="Aptos"/>
              </w:rPr>
            </w:pPr>
            <w:r w:rsidRPr="00C451C8">
              <w:rPr>
                <w:rFonts w:ascii="Aptos" w:eastAsia="MS Mincho" w:hAnsi="Aptos"/>
              </w:rPr>
              <w:t>STEP 4: DECISION / NOTIFICATION</w:t>
            </w:r>
          </w:p>
        </w:tc>
        <w:tc>
          <w:tcPr>
            <w:tcW w:w="9044" w:type="dxa"/>
            <w:shd w:val="clear" w:color="auto" w:fill="EDEDED" w:themeFill="accent3" w:themeFillTint="33"/>
          </w:tcPr>
          <w:p w14:paraId="6C5096AF" w14:textId="77777777" w:rsidR="007737B5" w:rsidRPr="00C451C8" w:rsidRDefault="007737B5" w:rsidP="00D3770A">
            <w:pPr>
              <w:pStyle w:val="BodyText"/>
              <w:numPr>
                <w:ilvl w:val="0"/>
                <w:numId w:val="29"/>
              </w:numPr>
              <w:spacing w:line="276" w:lineRule="auto"/>
              <w:cnfStyle w:val="000000000000" w:firstRow="0" w:lastRow="0" w:firstColumn="0" w:lastColumn="0" w:oddVBand="0" w:evenVBand="0" w:oddHBand="0" w:evenHBand="0" w:firstRowFirstColumn="0" w:firstRowLastColumn="0" w:lastRowFirstColumn="0" w:lastRowLastColumn="0"/>
              <w:rPr>
                <w:rFonts w:ascii="Aptos" w:eastAsia="MS Mincho" w:hAnsi="Aptos"/>
              </w:rPr>
            </w:pPr>
            <w:r w:rsidRPr="00C451C8">
              <w:rPr>
                <w:rFonts w:ascii="Aptos" w:eastAsia="MS Mincho" w:hAnsi="Aptos"/>
              </w:rPr>
              <w:t>DESBT considers application and recommendations and makes decision</w:t>
            </w:r>
          </w:p>
          <w:p w14:paraId="6AB1AAF6" w14:textId="77777777" w:rsidR="007737B5" w:rsidRPr="00C451C8" w:rsidRDefault="007737B5" w:rsidP="00D3770A">
            <w:pPr>
              <w:pStyle w:val="BodyText"/>
              <w:numPr>
                <w:ilvl w:val="0"/>
                <w:numId w:val="29"/>
              </w:numPr>
              <w:spacing w:line="276" w:lineRule="auto"/>
              <w:cnfStyle w:val="000000000000" w:firstRow="0" w:lastRow="0" w:firstColumn="0" w:lastColumn="0" w:oddVBand="0" w:evenVBand="0" w:oddHBand="0" w:evenHBand="0" w:firstRowFirstColumn="0" w:firstRowLastColumn="0" w:lastRowFirstColumn="0" w:lastRowLastColumn="0"/>
              <w:rPr>
                <w:rFonts w:ascii="Aptos" w:eastAsia="MS Mincho" w:hAnsi="Aptos"/>
              </w:rPr>
            </w:pPr>
            <w:r w:rsidRPr="00C451C8">
              <w:rPr>
                <w:rFonts w:ascii="Aptos" w:eastAsia="MS Mincho" w:hAnsi="Aptos"/>
              </w:rPr>
              <w:t>Advice is provided to SAS of outcome</w:t>
            </w:r>
          </w:p>
        </w:tc>
      </w:tr>
      <w:tr w:rsidR="007737B5" w:rsidRPr="00C451C8" w14:paraId="3ACC8B3C" w14:textId="77777777" w:rsidTr="00EA0BC2">
        <w:trPr>
          <w:trHeight w:val="830"/>
        </w:trPr>
        <w:tc>
          <w:tcPr>
            <w:cnfStyle w:val="001000000000" w:firstRow="0" w:lastRow="0" w:firstColumn="1" w:lastColumn="0" w:oddVBand="0" w:evenVBand="0" w:oddHBand="0" w:evenHBand="0" w:firstRowFirstColumn="0" w:firstRowLastColumn="0" w:lastRowFirstColumn="0" w:lastRowLastColumn="0"/>
            <w:tcW w:w="4738" w:type="dxa"/>
            <w:tcBorders>
              <w:bottom w:val="single" w:sz="12" w:space="0" w:color="403000" w:themeColor="accent4" w:themeShade="40"/>
            </w:tcBorders>
            <w:shd w:val="clear" w:color="auto" w:fill="D9E2F3" w:themeFill="accent1" w:themeFillTint="33"/>
          </w:tcPr>
          <w:p w14:paraId="277C07D1" w14:textId="77777777" w:rsidR="007737B5" w:rsidRPr="00C451C8" w:rsidRDefault="007737B5" w:rsidP="00D3770A">
            <w:pPr>
              <w:pStyle w:val="BodyText"/>
              <w:rPr>
                <w:rFonts w:ascii="Aptos" w:eastAsia="MS Mincho" w:hAnsi="Aptos"/>
              </w:rPr>
            </w:pPr>
            <w:r w:rsidRPr="00C451C8">
              <w:rPr>
                <w:rFonts w:ascii="Aptos" w:eastAsia="MS Mincho" w:hAnsi="Aptos"/>
              </w:rPr>
              <w:t>STEP 5: AGREEMENT / FUNDING</w:t>
            </w:r>
          </w:p>
        </w:tc>
        <w:tc>
          <w:tcPr>
            <w:tcW w:w="9044" w:type="dxa"/>
            <w:tcBorders>
              <w:bottom w:val="single" w:sz="12" w:space="0" w:color="403000" w:themeColor="accent4" w:themeShade="40"/>
            </w:tcBorders>
            <w:shd w:val="clear" w:color="auto" w:fill="D9E2F3" w:themeFill="accent1" w:themeFillTint="33"/>
          </w:tcPr>
          <w:p w14:paraId="5C44B7D0" w14:textId="77777777" w:rsidR="007737B5" w:rsidRPr="00C451C8" w:rsidRDefault="007737B5" w:rsidP="00D3770A">
            <w:pPr>
              <w:pStyle w:val="BodyText"/>
              <w:numPr>
                <w:ilvl w:val="0"/>
                <w:numId w:val="30"/>
              </w:numPr>
              <w:spacing w:line="276" w:lineRule="auto"/>
              <w:cnfStyle w:val="000000000000" w:firstRow="0" w:lastRow="0" w:firstColumn="0" w:lastColumn="0" w:oddVBand="0" w:evenVBand="0" w:oddHBand="0" w:evenHBand="0" w:firstRowFirstColumn="0" w:firstRowLastColumn="0" w:lastRowFirstColumn="0" w:lastRowLastColumn="0"/>
              <w:rPr>
                <w:rFonts w:ascii="Aptos" w:eastAsia="MS Mincho" w:hAnsi="Aptos"/>
              </w:rPr>
            </w:pPr>
            <w:r w:rsidRPr="00C451C8">
              <w:rPr>
                <w:rFonts w:ascii="Aptos" w:eastAsia="MS Mincho" w:hAnsi="Aptos"/>
              </w:rPr>
              <w:t>Support Agreement issued to successful applicants noting approved funding support (and if necessary, technology assistance)</w:t>
            </w:r>
          </w:p>
          <w:p w14:paraId="534C8D10" w14:textId="77777777" w:rsidR="007737B5" w:rsidRPr="00C451C8" w:rsidRDefault="007737B5" w:rsidP="00D3770A">
            <w:pPr>
              <w:pStyle w:val="BodyText"/>
              <w:numPr>
                <w:ilvl w:val="0"/>
                <w:numId w:val="30"/>
              </w:numPr>
              <w:spacing w:line="276" w:lineRule="auto"/>
              <w:cnfStyle w:val="000000000000" w:firstRow="0" w:lastRow="0" w:firstColumn="0" w:lastColumn="0" w:oddVBand="0" w:evenVBand="0" w:oddHBand="0" w:evenHBand="0" w:firstRowFirstColumn="0" w:firstRowLastColumn="0" w:lastRowFirstColumn="0" w:lastRowLastColumn="0"/>
              <w:rPr>
                <w:rFonts w:ascii="Aptos" w:eastAsia="MS Mincho" w:hAnsi="Aptos"/>
              </w:rPr>
            </w:pPr>
            <w:r w:rsidRPr="00C451C8">
              <w:rPr>
                <w:rFonts w:ascii="Aptos" w:eastAsia="MS Mincho" w:hAnsi="Aptos"/>
              </w:rPr>
              <w:t>DESBT provides funding to assist delivery of approved support</w:t>
            </w:r>
          </w:p>
        </w:tc>
      </w:tr>
      <w:tr w:rsidR="007737B5" w:rsidRPr="00C451C8" w14:paraId="61FEA38C" w14:textId="77777777" w:rsidTr="00EA0BC2">
        <w:trPr>
          <w:trHeight w:val="587"/>
        </w:trPr>
        <w:tc>
          <w:tcPr>
            <w:cnfStyle w:val="001000000000" w:firstRow="0" w:lastRow="0" w:firstColumn="1" w:lastColumn="0" w:oddVBand="0" w:evenVBand="0" w:oddHBand="0" w:evenHBand="0" w:firstRowFirstColumn="0" w:firstRowLastColumn="0" w:lastRowFirstColumn="0" w:lastRowLastColumn="0"/>
            <w:tcW w:w="4738" w:type="dxa"/>
            <w:shd w:val="clear" w:color="auto" w:fill="EDEDED" w:themeFill="accent3" w:themeFillTint="33"/>
          </w:tcPr>
          <w:p w14:paraId="54065044" w14:textId="77777777" w:rsidR="007737B5" w:rsidRPr="00C451C8" w:rsidRDefault="007737B5" w:rsidP="00D3770A">
            <w:pPr>
              <w:pStyle w:val="BodyText"/>
              <w:rPr>
                <w:rFonts w:ascii="Aptos" w:eastAsia="MS Mincho" w:hAnsi="Aptos"/>
              </w:rPr>
            </w:pPr>
            <w:r w:rsidRPr="00C451C8">
              <w:rPr>
                <w:rFonts w:ascii="Aptos" w:eastAsia="MS Mincho" w:hAnsi="Aptos"/>
              </w:rPr>
              <w:t>STEP 6: DO / COMPLETE / ACQUIT</w:t>
            </w:r>
          </w:p>
        </w:tc>
        <w:tc>
          <w:tcPr>
            <w:tcW w:w="9044" w:type="dxa"/>
            <w:shd w:val="clear" w:color="auto" w:fill="EDEDED" w:themeFill="accent3" w:themeFillTint="33"/>
          </w:tcPr>
          <w:p w14:paraId="114227E2" w14:textId="77777777" w:rsidR="007737B5" w:rsidRPr="00C451C8" w:rsidRDefault="007737B5" w:rsidP="00D3770A">
            <w:pPr>
              <w:pStyle w:val="BodyText"/>
              <w:numPr>
                <w:ilvl w:val="0"/>
                <w:numId w:val="31"/>
              </w:numPr>
              <w:spacing w:after="0" w:line="276" w:lineRule="auto"/>
              <w:cnfStyle w:val="000000000000" w:firstRow="0" w:lastRow="0" w:firstColumn="0" w:lastColumn="0" w:oddVBand="0" w:evenVBand="0" w:oddHBand="0" w:evenHBand="0" w:firstRowFirstColumn="0" w:firstRowLastColumn="0" w:lastRowFirstColumn="0" w:lastRowLastColumn="0"/>
              <w:rPr>
                <w:rFonts w:ascii="Aptos" w:eastAsia="MS Mincho" w:hAnsi="Aptos"/>
              </w:rPr>
            </w:pPr>
            <w:r w:rsidRPr="00C451C8">
              <w:rPr>
                <w:rFonts w:ascii="Aptos" w:eastAsia="MS Mincho" w:hAnsi="Aptos"/>
              </w:rPr>
              <w:t>SAS commences support, provides quarterly reports and acquits funds received against expenditure</w:t>
            </w:r>
          </w:p>
          <w:p w14:paraId="3200C126" w14:textId="77777777" w:rsidR="007737B5" w:rsidRPr="00C451C8" w:rsidRDefault="007737B5" w:rsidP="00D3770A">
            <w:pPr>
              <w:pStyle w:val="BodyText"/>
              <w:numPr>
                <w:ilvl w:val="0"/>
                <w:numId w:val="31"/>
              </w:numPr>
              <w:spacing w:line="276" w:lineRule="auto"/>
              <w:cnfStyle w:val="000000000000" w:firstRow="0" w:lastRow="0" w:firstColumn="0" w:lastColumn="0" w:oddVBand="0" w:evenVBand="0" w:oddHBand="0" w:evenHBand="0" w:firstRowFirstColumn="0" w:firstRowLastColumn="0" w:lastRowFirstColumn="0" w:lastRowLastColumn="0"/>
              <w:rPr>
                <w:rFonts w:ascii="Aptos" w:eastAsia="MS Mincho" w:hAnsi="Aptos"/>
              </w:rPr>
            </w:pPr>
            <w:r w:rsidRPr="00C451C8">
              <w:rPr>
                <w:rFonts w:ascii="Aptos" w:eastAsia="MS Mincho" w:hAnsi="Aptos"/>
              </w:rPr>
              <w:t>DESBT makes payments, monitors progress and evaluates program outcomes</w:t>
            </w:r>
          </w:p>
        </w:tc>
      </w:tr>
    </w:tbl>
    <w:p w14:paraId="0AAFA6DD" w14:textId="77777777" w:rsidR="007737B5" w:rsidRPr="00C451C8" w:rsidRDefault="007737B5" w:rsidP="007737B5">
      <w:pPr>
        <w:pStyle w:val="ListBullet"/>
        <w:numPr>
          <w:ilvl w:val="0"/>
          <w:numId w:val="0"/>
        </w:numPr>
        <w:rPr>
          <w:rFonts w:ascii="Aptos" w:hAnsi="Aptos"/>
          <w:lang w:eastAsia="en-US"/>
        </w:rPr>
        <w:sectPr w:rsidR="007737B5" w:rsidRPr="00C451C8" w:rsidSect="007737B5">
          <w:pgSz w:w="16838" w:h="11906" w:orient="landscape"/>
          <w:pgMar w:top="1440" w:right="1440" w:bottom="1440" w:left="1440" w:header="708" w:footer="708" w:gutter="0"/>
          <w:cols w:space="708"/>
          <w:docGrid w:linePitch="360"/>
        </w:sectPr>
      </w:pPr>
    </w:p>
    <w:p w14:paraId="0FA1210A" w14:textId="77777777" w:rsidR="007737B5" w:rsidRPr="00C451C8" w:rsidRDefault="007737B5" w:rsidP="007737B5">
      <w:pPr>
        <w:pStyle w:val="AppendixHeading1"/>
        <w:numPr>
          <w:ilvl w:val="0"/>
          <w:numId w:val="0"/>
        </w:numPr>
        <w:tabs>
          <w:tab w:val="left" w:pos="945"/>
        </w:tabs>
        <w:rPr>
          <w:rFonts w:ascii="Aptos" w:hAnsi="Aptos"/>
          <w:color w:val="auto"/>
          <w:sz w:val="40"/>
          <w:szCs w:val="40"/>
        </w:rPr>
      </w:pPr>
      <w:bookmarkStart w:id="57" w:name="_Toc207710356"/>
      <w:r w:rsidRPr="00C451C8">
        <w:rPr>
          <w:rFonts w:ascii="Aptos" w:hAnsi="Aptos"/>
          <w:color w:val="auto"/>
          <w:sz w:val="40"/>
          <w:szCs w:val="40"/>
        </w:rPr>
        <w:lastRenderedPageBreak/>
        <w:t>4. Evidence of need statement</w:t>
      </w:r>
      <w:bookmarkEnd w:id="57"/>
    </w:p>
    <w:p w14:paraId="337D36D1" w14:textId="77777777" w:rsidR="007737B5" w:rsidRPr="00C451C8" w:rsidRDefault="007737B5" w:rsidP="007737B5">
      <w:pPr>
        <w:pStyle w:val="Bodycopy"/>
        <w:rPr>
          <w:rFonts w:ascii="Aptos" w:hAnsi="Aptos"/>
          <w:lang w:eastAsia="en-US"/>
        </w:rPr>
      </w:pPr>
      <w:r w:rsidRPr="00C451C8">
        <w:rPr>
          <w:rFonts w:ascii="Aptos" w:hAnsi="Aptos"/>
          <w:lang w:eastAsia="en-US"/>
        </w:rPr>
        <w:t xml:space="preserve">In the statement: </w:t>
      </w:r>
    </w:p>
    <w:p w14:paraId="65ACB844" w14:textId="77777777" w:rsidR="007737B5" w:rsidRPr="00C451C8" w:rsidRDefault="007737B5" w:rsidP="007737B5">
      <w:pPr>
        <w:pStyle w:val="ListBullet"/>
        <w:rPr>
          <w:rFonts w:ascii="Aptos" w:hAnsi="Aptos" w:cs="Arial"/>
          <w:lang w:eastAsia="en-US"/>
        </w:rPr>
      </w:pPr>
      <w:r w:rsidRPr="00C451C8">
        <w:rPr>
          <w:rFonts w:ascii="Aptos" w:hAnsi="Aptos"/>
          <w:lang w:eastAsia="en-US"/>
        </w:rPr>
        <w:t>please include relevant information to help the department understand the student’s needs, the learning environment and why the subsidised support services you are requesting will work.</w:t>
      </w:r>
    </w:p>
    <w:p w14:paraId="2E260413" w14:textId="77777777" w:rsidR="007737B5" w:rsidRPr="00C451C8" w:rsidRDefault="007737B5" w:rsidP="007737B5">
      <w:pPr>
        <w:pStyle w:val="ListBullet"/>
        <w:rPr>
          <w:rFonts w:ascii="Aptos" w:hAnsi="Aptos"/>
          <w:lang w:eastAsia="en-US"/>
        </w:rPr>
      </w:pPr>
      <w:r w:rsidRPr="00C451C8">
        <w:rPr>
          <w:rFonts w:ascii="Aptos" w:hAnsi="Aptos"/>
          <w:lang w:eastAsia="en-US"/>
        </w:rPr>
        <w:t>clearly describe how the support you are requesting relates to the specific challenges the student is experiencing in their learning due to their disability.</w:t>
      </w:r>
    </w:p>
    <w:tbl>
      <w:tblPr>
        <w:tblStyle w:val="ListTable3-Accent3"/>
        <w:tblW w:w="10184" w:type="dxa"/>
        <w:tblInd w:w="-714" w:type="dxa"/>
        <w:tblBorders>
          <w:top w:val="single" w:sz="4" w:space="0" w:color="657C9C" w:themeColor="text2" w:themeTint="BF"/>
          <w:left w:val="single" w:sz="4" w:space="0" w:color="657C9C" w:themeColor="text2" w:themeTint="BF"/>
          <w:bottom w:val="single" w:sz="4" w:space="0" w:color="657C9C" w:themeColor="text2" w:themeTint="BF"/>
          <w:right w:val="single" w:sz="4" w:space="0" w:color="657C9C" w:themeColor="text2" w:themeTint="BF"/>
          <w:insideH w:val="single" w:sz="4" w:space="0" w:color="657C9C" w:themeColor="text2" w:themeTint="BF"/>
        </w:tblBorders>
        <w:tblLook w:val="04A0" w:firstRow="1" w:lastRow="0" w:firstColumn="1" w:lastColumn="0" w:noHBand="0" w:noVBand="1"/>
        <w:tblDescription w:val="Table providing guidance to complete the evidence of need table in the Skills Disability Support application form."/>
      </w:tblPr>
      <w:tblGrid>
        <w:gridCol w:w="4017"/>
        <w:gridCol w:w="6167"/>
      </w:tblGrid>
      <w:tr w:rsidR="007737B5" w:rsidRPr="00C451C8" w14:paraId="4D81A7FF" w14:textId="77777777" w:rsidTr="00D3770A">
        <w:trPr>
          <w:cnfStyle w:val="100000000000" w:firstRow="1" w:lastRow="0" w:firstColumn="0" w:lastColumn="0" w:oddVBand="0" w:evenVBand="0" w:oddHBand="0" w:evenHBand="0" w:firstRowFirstColumn="0" w:firstRowLastColumn="0" w:lastRowFirstColumn="0" w:lastRowLastColumn="0"/>
          <w:trHeight w:val="546"/>
          <w:tblHeader/>
        </w:trPr>
        <w:tc>
          <w:tcPr>
            <w:cnfStyle w:val="001000000100" w:firstRow="0" w:lastRow="0" w:firstColumn="1" w:lastColumn="0" w:oddVBand="0" w:evenVBand="0" w:oddHBand="0" w:evenHBand="0" w:firstRowFirstColumn="1" w:firstRowLastColumn="0" w:lastRowFirstColumn="0" w:lastRowLastColumn="0"/>
            <w:tcW w:w="4017" w:type="dxa"/>
            <w:tcBorders>
              <w:bottom w:val="none" w:sz="0" w:space="0" w:color="auto"/>
              <w:right w:val="none" w:sz="0" w:space="0" w:color="auto"/>
            </w:tcBorders>
            <w:shd w:val="clear" w:color="auto" w:fill="D9E2F3" w:themeFill="accent1" w:themeFillTint="33"/>
            <w:hideMark/>
          </w:tcPr>
          <w:p w14:paraId="03771656" w14:textId="77777777" w:rsidR="007737B5" w:rsidRPr="00C451C8" w:rsidRDefault="007737B5" w:rsidP="00D3770A">
            <w:pPr>
              <w:pStyle w:val="TableHeadingLeft-Black"/>
              <w:rPr>
                <w:rFonts w:ascii="Aptos" w:hAnsi="Aptos"/>
                <w:b/>
                <w:color w:val="auto"/>
                <w:lang w:eastAsia="ja-JP"/>
              </w:rPr>
            </w:pPr>
            <w:r w:rsidRPr="00C451C8">
              <w:rPr>
                <w:rFonts w:ascii="Aptos" w:hAnsi="Aptos"/>
                <w:b/>
                <w:color w:val="auto"/>
              </w:rPr>
              <w:t>Evidence of need fields</w:t>
            </w:r>
          </w:p>
        </w:tc>
        <w:tc>
          <w:tcPr>
            <w:tcW w:w="6167" w:type="dxa"/>
            <w:shd w:val="clear" w:color="auto" w:fill="D9E2F3" w:themeFill="accent1" w:themeFillTint="33"/>
            <w:hideMark/>
          </w:tcPr>
          <w:p w14:paraId="0AA09505" w14:textId="77777777" w:rsidR="007737B5" w:rsidRPr="00C451C8" w:rsidRDefault="007737B5" w:rsidP="00D3770A">
            <w:pPr>
              <w:pStyle w:val="TableHeadingLeft-Black"/>
              <w:cnfStyle w:val="100000000000" w:firstRow="1" w:lastRow="0" w:firstColumn="0" w:lastColumn="0" w:oddVBand="0" w:evenVBand="0" w:oddHBand="0" w:evenHBand="0" w:firstRowFirstColumn="0" w:firstRowLastColumn="0" w:lastRowFirstColumn="0" w:lastRowLastColumn="0"/>
              <w:rPr>
                <w:rFonts w:ascii="Aptos" w:hAnsi="Aptos"/>
                <w:b/>
                <w:color w:val="auto"/>
              </w:rPr>
            </w:pPr>
            <w:r w:rsidRPr="00C451C8">
              <w:rPr>
                <w:rFonts w:ascii="Aptos" w:hAnsi="Aptos"/>
                <w:b/>
                <w:color w:val="auto"/>
              </w:rPr>
              <w:t xml:space="preserve">Guidance for completing </w:t>
            </w:r>
          </w:p>
        </w:tc>
      </w:tr>
      <w:tr w:rsidR="007737B5" w:rsidRPr="00C451C8" w14:paraId="01B48722" w14:textId="77777777" w:rsidTr="00D3770A">
        <w:trPr>
          <w:cnfStyle w:val="000000100000" w:firstRow="0" w:lastRow="0" w:firstColumn="0" w:lastColumn="0" w:oddVBand="0" w:evenVBand="0" w:oddHBand="1" w:evenHBand="0" w:firstRowFirstColumn="0" w:firstRowLastColumn="0" w:lastRowFirstColumn="0" w:lastRowLastColumn="0"/>
          <w:trHeight w:val="1372"/>
        </w:trPr>
        <w:tc>
          <w:tcPr>
            <w:cnfStyle w:val="001000000000" w:firstRow="0" w:lastRow="0" w:firstColumn="1" w:lastColumn="0" w:oddVBand="0" w:evenVBand="0" w:oddHBand="0" w:evenHBand="0" w:firstRowFirstColumn="0" w:firstRowLastColumn="0" w:lastRowFirstColumn="0" w:lastRowLastColumn="0"/>
            <w:tcW w:w="4017" w:type="dxa"/>
            <w:tcBorders>
              <w:top w:val="none" w:sz="0" w:space="0" w:color="auto"/>
              <w:bottom w:val="none" w:sz="0" w:space="0" w:color="auto"/>
              <w:right w:val="none" w:sz="0" w:space="0" w:color="auto"/>
            </w:tcBorders>
            <w:hideMark/>
          </w:tcPr>
          <w:p w14:paraId="0216D0E9" w14:textId="77777777" w:rsidR="007737B5" w:rsidRPr="00C451C8" w:rsidRDefault="007737B5" w:rsidP="00D3770A">
            <w:pPr>
              <w:pStyle w:val="TableTextLeft"/>
              <w:rPr>
                <w:rFonts w:ascii="Aptos" w:hAnsi="Aptos"/>
                <w:b w:val="0"/>
              </w:rPr>
            </w:pPr>
            <w:r w:rsidRPr="00C451C8">
              <w:rPr>
                <w:rFonts w:ascii="Aptos" w:hAnsi="Aptos"/>
              </w:rPr>
              <w:t>The student’s specific VET challenges due to their disability.</w:t>
            </w:r>
          </w:p>
          <w:p w14:paraId="40592401" w14:textId="77777777" w:rsidR="007737B5" w:rsidRPr="00C451C8" w:rsidRDefault="007737B5" w:rsidP="00D3770A">
            <w:pPr>
              <w:pStyle w:val="TableTextLeft"/>
              <w:rPr>
                <w:rFonts w:ascii="Aptos" w:hAnsi="Aptos"/>
                <w:b w:val="0"/>
              </w:rPr>
            </w:pPr>
            <w:r w:rsidRPr="00C451C8">
              <w:rPr>
                <w:rFonts w:ascii="Aptos" w:hAnsi="Aptos"/>
              </w:rPr>
              <w:t>Please reference or attach professional diagnoses and/or supporting reports.</w:t>
            </w:r>
          </w:p>
        </w:tc>
        <w:tc>
          <w:tcPr>
            <w:tcW w:w="6167" w:type="dxa"/>
            <w:tcBorders>
              <w:top w:val="none" w:sz="0" w:space="0" w:color="auto"/>
              <w:bottom w:val="none" w:sz="0" w:space="0" w:color="auto"/>
            </w:tcBorders>
            <w:hideMark/>
          </w:tcPr>
          <w:p w14:paraId="36C71E65" w14:textId="77777777" w:rsidR="007737B5" w:rsidRPr="00C451C8" w:rsidRDefault="007737B5" w:rsidP="00D3770A">
            <w:pPr>
              <w:pStyle w:val="TableTextLeft"/>
              <w:cnfStyle w:val="000000100000" w:firstRow="0" w:lastRow="0" w:firstColumn="0" w:lastColumn="0" w:oddVBand="0" w:evenVBand="0" w:oddHBand="1" w:evenHBand="0" w:firstRowFirstColumn="0" w:firstRowLastColumn="0" w:lastRowFirstColumn="0" w:lastRowLastColumn="0"/>
              <w:rPr>
                <w:rFonts w:ascii="Aptos" w:hAnsi="Aptos"/>
              </w:rPr>
            </w:pPr>
            <w:r w:rsidRPr="00C451C8">
              <w:rPr>
                <w:rFonts w:ascii="Aptos" w:hAnsi="Aptos"/>
              </w:rPr>
              <w:t>As students with disability are not a homogenous group, this field is about the individual student and how their disability is impacting participation in their chosen program of study.</w:t>
            </w:r>
          </w:p>
          <w:p w14:paraId="0FE5E5FB" w14:textId="77777777" w:rsidR="007737B5" w:rsidRPr="00C451C8" w:rsidRDefault="007737B5" w:rsidP="00D3770A">
            <w:pPr>
              <w:pStyle w:val="TableTextLeft"/>
              <w:cnfStyle w:val="000000100000" w:firstRow="0" w:lastRow="0" w:firstColumn="0" w:lastColumn="0" w:oddVBand="0" w:evenVBand="0" w:oddHBand="1" w:evenHBand="0" w:firstRowFirstColumn="0" w:firstRowLastColumn="0" w:lastRowFirstColumn="0" w:lastRowLastColumn="0"/>
              <w:rPr>
                <w:rFonts w:ascii="Aptos" w:hAnsi="Aptos"/>
              </w:rPr>
            </w:pPr>
            <w:r w:rsidRPr="00C451C8">
              <w:rPr>
                <w:rFonts w:ascii="Aptos" w:hAnsi="Aptos"/>
              </w:rPr>
              <w:t>Please attach recent medical diagnoses relating to the student.</w:t>
            </w:r>
          </w:p>
        </w:tc>
      </w:tr>
      <w:tr w:rsidR="007737B5" w:rsidRPr="00C451C8" w14:paraId="1F0DC1B3" w14:textId="77777777" w:rsidTr="00D3770A">
        <w:trPr>
          <w:trHeight w:val="1123"/>
        </w:trPr>
        <w:tc>
          <w:tcPr>
            <w:cnfStyle w:val="001000000000" w:firstRow="0" w:lastRow="0" w:firstColumn="1" w:lastColumn="0" w:oddVBand="0" w:evenVBand="0" w:oddHBand="0" w:evenHBand="0" w:firstRowFirstColumn="0" w:firstRowLastColumn="0" w:lastRowFirstColumn="0" w:lastRowLastColumn="0"/>
            <w:tcW w:w="4017" w:type="dxa"/>
            <w:tcBorders>
              <w:right w:val="none" w:sz="0" w:space="0" w:color="auto"/>
            </w:tcBorders>
            <w:hideMark/>
          </w:tcPr>
          <w:p w14:paraId="05B0D8A1" w14:textId="77777777" w:rsidR="007737B5" w:rsidRPr="00C451C8" w:rsidRDefault="007737B5" w:rsidP="00D3770A">
            <w:pPr>
              <w:pStyle w:val="TableTextLeft"/>
              <w:rPr>
                <w:rFonts w:ascii="Aptos" w:hAnsi="Aptos"/>
                <w:b w:val="0"/>
              </w:rPr>
            </w:pPr>
            <w:r w:rsidRPr="00C451C8">
              <w:rPr>
                <w:rFonts w:ascii="Aptos" w:hAnsi="Aptos" w:cs="Arial"/>
              </w:rPr>
              <w:t>Describe previous support utilised by the student and its effectiveness (for example, during school or previous tertiary study).</w:t>
            </w:r>
          </w:p>
        </w:tc>
        <w:tc>
          <w:tcPr>
            <w:tcW w:w="6167" w:type="dxa"/>
            <w:hideMark/>
          </w:tcPr>
          <w:p w14:paraId="6C735195" w14:textId="77777777" w:rsidR="007737B5" w:rsidRPr="00C451C8" w:rsidRDefault="007737B5" w:rsidP="00D3770A">
            <w:pPr>
              <w:pStyle w:val="TableTextLeft"/>
              <w:cnfStyle w:val="000000000000" w:firstRow="0" w:lastRow="0" w:firstColumn="0" w:lastColumn="0" w:oddVBand="0" w:evenVBand="0" w:oddHBand="0" w:evenHBand="0" w:firstRowFirstColumn="0" w:firstRowLastColumn="0" w:lastRowFirstColumn="0" w:lastRowLastColumn="0"/>
              <w:rPr>
                <w:rFonts w:ascii="Aptos" w:hAnsi="Aptos"/>
              </w:rPr>
            </w:pPr>
            <w:r w:rsidRPr="00C451C8">
              <w:rPr>
                <w:rFonts w:ascii="Aptos" w:hAnsi="Aptos"/>
              </w:rPr>
              <w:t xml:space="preserve">This field is for information on the effectiveness of previous support strategies. This will assist understanding of the type and level of your support request. </w:t>
            </w:r>
          </w:p>
        </w:tc>
      </w:tr>
      <w:tr w:rsidR="007737B5" w:rsidRPr="00C451C8" w14:paraId="26247459" w14:textId="77777777" w:rsidTr="00D3770A">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4017" w:type="dxa"/>
            <w:tcBorders>
              <w:top w:val="none" w:sz="0" w:space="0" w:color="auto"/>
              <w:bottom w:val="none" w:sz="0" w:space="0" w:color="auto"/>
              <w:right w:val="none" w:sz="0" w:space="0" w:color="auto"/>
            </w:tcBorders>
            <w:hideMark/>
          </w:tcPr>
          <w:p w14:paraId="6DCCAF0A" w14:textId="77777777" w:rsidR="007737B5" w:rsidRPr="00C451C8" w:rsidRDefault="007737B5" w:rsidP="00D3770A">
            <w:pPr>
              <w:pStyle w:val="TableTextLeft"/>
              <w:rPr>
                <w:rFonts w:ascii="Aptos" w:hAnsi="Aptos"/>
                <w:b w:val="0"/>
              </w:rPr>
            </w:pPr>
            <w:r w:rsidRPr="00C451C8">
              <w:rPr>
                <w:rFonts w:ascii="Aptos" w:hAnsi="Aptos" w:cs="Arial"/>
              </w:rPr>
              <w:t>What assistive technology has been explored or implemented?</w:t>
            </w:r>
          </w:p>
        </w:tc>
        <w:tc>
          <w:tcPr>
            <w:tcW w:w="6167" w:type="dxa"/>
            <w:tcBorders>
              <w:top w:val="none" w:sz="0" w:space="0" w:color="auto"/>
              <w:bottom w:val="none" w:sz="0" w:space="0" w:color="auto"/>
            </w:tcBorders>
            <w:hideMark/>
          </w:tcPr>
          <w:p w14:paraId="6064099E" w14:textId="77777777" w:rsidR="007737B5" w:rsidRPr="00C451C8" w:rsidRDefault="007737B5" w:rsidP="00D3770A">
            <w:pPr>
              <w:pStyle w:val="TableTextLeft"/>
              <w:cnfStyle w:val="000000100000" w:firstRow="0" w:lastRow="0" w:firstColumn="0" w:lastColumn="0" w:oddVBand="0" w:evenVBand="0" w:oddHBand="1" w:evenHBand="0" w:firstRowFirstColumn="0" w:firstRowLastColumn="0" w:lastRowFirstColumn="0" w:lastRowLastColumn="0"/>
              <w:rPr>
                <w:rFonts w:ascii="Aptos" w:hAnsi="Aptos"/>
              </w:rPr>
            </w:pPr>
            <w:r w:rsidRPr="00C451C8">
              <w:rPr>
                <w:rFonts w:ascii="Aptos" w:hAnsi="Aptos"/>
              </w:rPr>
              <w:t>Assistive technology is specialised equipment and software that supports access to and participation in learning.</w:t>
            </w:r>
          </w:p>
          <w:p w14:paraId="78D1DD51" w14:textId="77777777" w:rsidR="007737B5" w:rsidRPr="00C451C8" w:rsidRDefault="007737B5" w:rsidP="00D3770A">
            <w:pPr>
              <w:pStyle w:val="TableTextLeft"/>
              <w:cnfStyle w:val="000000100000" w:firstRow="0" w:lastRow="0" w:firstColumn="0" w:lastColumn="0" w:oddVBand="0" w:evenVBand="0" w:oddHBand="1" w:evenHBand="0" w:firstRowFirstColumn="0" w:firstRowLastColumn="0" w:lastRowFirstColumn="0" w:lastRowLastColumn="0"/>
              <w:rPr>
                <w:rFonts w:ascii="Aptos" w:hAnsi="Aptos"/>
              </w:rPr>
            </w:pPr>
            <w:r w:rsidRPr="00C451C8">
              <w:rPr>
                <w:rFonts w:ascii="Aptos" w:hAnsi="Aptos"/>
              </w:rPr>
              <w:t xml:space="preserve">Efficient and effective use of assistive technology can support the development of independence both in training and in employment and should be considered. </w:t>
            </w:r>
          </w:p>
        </w:tc>
      </w:tr>
      <w:tr w:rsidR="007737B5" w:rsidRPr="00C451C8" w14:paraId="19B50C8E" w14:textId="77777777" w:rsidTr="00D3770A">
        <w:trPr>
          <w:trHeight w:val="1738"/>
        </w:trPr>
        <w:tc>
          <w:tcPr>
            <w:cnfStyle w:val="001000000000" w:firstRow="0" w:lastRow="0" w:firstColumn="1" w:lastColumn="0" w:oddVBand="0" w:evenVBand="0" w:oddHBand="0" w:evenHBand="0" w:firstRowFirstColumn="0" w:firstRowLastColumn="0" w:lastRowFirstColumn="0" w:lastRowLastColumn="0"/>
            <w:tcW w:w="4017" w:type="dxa"/>
            <w:tcBorders>
              <w:right w:val="none" w:sz="0" w:space="0" w:color="auto"/>
            </w:tcBorders>
            <w:hideMark/>
          </w:tcPr>
          <w:p w14:paraId="5F9040FD" w14:textId="77777777" w:rsidR="007737B5" w:rsidRPr="00C451C8" w:rsidRDefault="007737B5" w:rsidP="00D3770A">
            <w:pPr>
              <w:pStyle w:val="TableTextLeft"/>
              <w:rPr>
                <w:rFonts w:ascii="Aptos" w:hAnsi="Aptos"/>
              </w:rPr>
            </w:pPr>
            <w:r w:rsidRPr="00C451C8">
              <w:rPr>
                <w:rFonts w:ascii="Aptos" w:hAnsi="Aptos" w:cs="Arial"/>
              </w:rPr>
              <w:t xml:space="preserve">What inclusive practices and/or reasonable adjustments have already been put in place?  </w:t>
            </w:r>
            <w:r w:rsidRPr="00C451C8">
              <w:rPr>
                <w:rFonts w:ascii="Aptos" w:hAnsi="Aptos" w:cs="Arial"/>
                <w:b w:val="0"/>
              </w:rPr>
              <w:t>I</w:t>
            </w:r>
            <w:r w:rsidRPr="00C451C8">
              <w:rPr>
                <w:rFonts w:ascii="Aptos" w:hAnsi="Aptos" w:cs="Arial"/>
              </w:rPr>
              <w:t>nclude information about tutorial and foundation skills support.</w:t>
            </w:r>
          </w:p>
        </w:tc>
        <w:tc>
          <w:tcPr>
            <w:tcW w:w="6167" w:type="dxa"/>
            <w:hideMark/>
          </w:tcPr>
          <w:p w14:paraId="3C1A0EC4" w14:textId="77777777" w:rsidR="007737B5" w:rsidRPr="00C451C8" w:rsidRDefault="007737B5" w:rsidP="00D3770A">
            <w:pPr>
              <w:pStyle w:val="TableTextLeft"/>
              <w:cnfStyle w:val="000000000000" w:firstRow="0" w:lastRow="0" w:firstColumn="0" w:lastColumn="0" w:oddVBand="0" w:evenVBand="0" w:oddHBand="0" w:evenHBand="0" w:firstRowFirstColumn="0" w:firstRowLastColumn="0" w:lastRowFirstColumn="0" w:lastRowLastColumn="0"/>
              <w:rPr>
                <w:rFonts w:ascii="Aptos" w:hAnsi="Aptos"/>
              </w:rPr>
            </w:pPr>
            <w:r w:rsidRPr="00C451C8">
              <w:rPr>
                <w:rFonts w:ascii="Aptos" w:hAnsi="Aptos"/>
              </w:rPr>
              <w:t>This section is for a description of the inclusive strategies that you already have in place such as tutorials, volunteer tutors, foundation skills support, visually based training delivery, extended time for assessments, peer mentoring and the provision of learning resources in alternative formats.</w:t>
            </w:r>
          </w:p>
          <w:p w14:paraId="4EB53B69" w14:textId="77777777" w:rsidR="007737B5" w:rsidRPr="00C451C8" w:rsidRDefault="007737B5" w:rsidP="00D3770A">
            <w:pPr>
              <w:pStyle w:val="TableTextLeft"/>
              <w:cnfStyle w:val="000000000000" w:firstRow="0" w:lastRow="0" w:firstColumn="0" w:lastColumn="0" w:oddVBand="0" w:evenVBand="0" w:oddHBand="0" w:evenHBand="0" w:firstRowFirstColumn="0" w:firstRowLastColumn="0" w:lastRowFirstColumn="0" w:lastRowLastColumn="0"/>
              <w:rPr>
                <w:rFonts w:ascii="Aptos" w:hAnsi="Aptos"/>
              </w:rPr>
            </w:pPr>
            <w:r w:rsidRPr="00C451C8">
              <w:rPr>
                <w:rFonts w:ascii="Aptos" w:hAnsi="Aptos"/>
              </w:rPr>
              <w:t>These strategies form the foundation for specialised support through SDS.</w:t>
            </w:r>
          </w:p>
        </w:tc>
      </w:tr>
      <w:tr w:rsidR="007737B5" w:rsidRPr="00C451C8" w14:paraId="315A307E" w14:textId="77777777" w:rsidTr="00D3770A">
        <w:trPr>
          <w:cnfStyle w:val="000000100000" w:firstRow="0" w:lastRow="0" w:firstColumn="0" w:lastColumn="0" w:oddVBand="0" w:evenVBand="0" w:oddHBand="1" w:evenHBand="0" w:firstRowFirstColumn="0" w:firstRowLastColumn="0" w:lastRowFirstColumn="0" w:lastRowLastColumn="0"/>
          <w:trHeight w:val="3446"/>
        </w:trPr>
        <w:tc>
          <w:tcPr>
            <w:cnfStyle w:val="001000000000" w:firstRow="0" w:lastRow="0" w:firstColumn="1" w:lastColumn="0" w:oddVBand="0" w:evenVBand="0" w:oddHBand="0" w:evenHBand="0" w:firstRowFirstColumn="0" w:firstRowLastColumn="0" w:lastRowFirstColumn="0" w:lastRowLastColumn="0"/>
            <w:tcW w:w="4017" w:type="dxa"/>
            <w:tcBorders>
              <w:top w:val="none" w:sz="0" w:space="0" w:color="auto"/>
              <w:bottom w:val="none" w:sz="0" w:space="0" w:color="auto"/>
              <w:right w:val="none" w:sz="0" w:space="0" w:color="auto"/>
            </w:tcBorders>
            <w:hideMark/>
          </w:tcPr>
          <w:p w14:paraId="51AF5C28" w14:textId="77777777" w:rsidR="007737B5" w:rsidRPr="00C451C8" w:rsidRDefault="007737B5" w:rsidP="00D3770A">
            <w:pPr>
              <w:spacing w:after="200" w:line="276" w:lineRule="auto"/>
              <w:rPr>
                <w:rFonts w:ascii="Aptos" w:eastAsia="MS Mincho" w:hAnsi="Aptos" w:cs="Arial"/>
                <w:lang w:eastAsia="en-US"/>
              </w:rPr>
            </w:pPr>
            <w:r w:rsidRPr="00C451C8">
              <w:rPr>
                <w:rFonts w:ascii="Aptos" w:eastAsia="MS Mincho" w:hAnsi="Aptos" w:cs="Arial"/>
                <w:lang w:eastAsia="en-US"/>
              </w:rPr>
              <w:t xml:space="preserve">How will the support you are requesting assist the student to achieve study completion and employment outcomes? </w:t>
            </w:r>
          </w:p>
        </w:tc>
        <w:tc>
          <w:tcPr>
            <w:tcW w:w="6167" w:type="dxa"/>
            <w:tcBorders>
              <w:top w:val="none" w:sz="0" w:space="0" w:color="auto"/>
              <w:bottom w:val="none" w:sz="0" w:space="0" w:color="auto"/>
            </w:tcBorders>
            <w:hideMark/>
          </w:tcPr>
          <w:p w14:paraId="4F6F49B1" w14:textId="77777777" w:rsidR="007737B5" w:rsidRPr="00C451C8" w:rsidRDefault="007737B5" w:rsidP="00D3770A">
            <w:pPr>
              <w:pStyle w:val="TableTextLeft"/>
              <w:cnfStyle w:val="000000100000" w:firstRow="0" w:lastRow="0" w:firstColumn="0" w:lastColumn="0" w:oddVBand="0" w:evenVBand="0" w:oddHBand="1" w:evenHBand="0" w:firstRowFirstColumn="0" w:firstRowLastColumn="0" w:lastRowFirstColumn="0" w:lastRowLastColumn="0"/>
              <w:rPr>
                <w:rFonts w:ascii="Aptos" w:hAnsi="Aptos"/>
              </w:rPr>
            </w:pPr>
            <w:r w:rsidRPr="00C451C8">
              <w:rPr>
                <w:rFonts w:ascii="Aptos" w:hAnsi="Aptos"/>
              </w:rPr>
              <w:t>This field is about clearly defining the student’s support needs and linking them back to the challenges the student is experiencing.</w:t>
            </w:r>
          </w:p>
          <w:p w14:paraId="7B6AD900" w14:textId="77777777" w:rsidR="007737B5" w:rsidRPr="00C451C8" w:rsidRDefault="007737B5" w:rsidP="00D3770A">
            <w:pPr>
              <w:pStyle w:val="TableTextLeft"/>
              <w:cnfStyle w:val="000000100000" w:firstRow="0" w:lastRow="0" w:firstColumn="0" w:lastColumn="0" w:oddVBand="0" w:evenVBand="0" w:oddHBand="1" w:evenHBand="0" w:firstRowFirstColumn="0" w:firstRowLastColumn="0" w:lastRowFirstColumn="0" w:lastRowLastColumn="0"/>
              <w:rPr>
                <w:rFonts w:ascii="Aptos" w:hAnsi="Aptos"/>
              </w:rPr>
            </w:pPr>
            <w:r w:rsidRPr="00C451C8">
              <w:rPr>
                <w:rFonts w:ascii="Aptos" w:hAnsi="Aptos"/>
              </w:rPr>
              <w:t>For specialised support services, consider:</w:t>
            </w:r>
          </w:p>
          <w:p w14:paraId="4D13BCB3" w14:textId="77777777" w:rsidR="007737B5" w:rsidRPr="00C451C8" w:rsidRDefault="007737B5" w:rsidP="007737B5">
            <w:pPr>
              <w:pStyle w:val="TableBullet"/>
              <w:tabs>
                <w:tab w:val="clear" w:pos="360"/>
                <w:tab w:val="num" w:pos="227"/>
              </w:tabs>
              <w:ind w:left="227" w:hanging="227"/>
              <w:cnfStyle w:val="000000100000" w:firstRow="0" w:lastRow="0" w:firstColumn="0" w:lastColumn="0" w:oddVBand="0" w:evenVBand="0" w:oddHBand="1" w:evenHBand="0" w:firstRowFirstColumn="0" w:firstRowLastColumn="0" w:lastRowFirstColumn="0" w:lastRowLastColumn="0"/>
              <w:rPr>
                <w:rFonts w:ascii="Aptos" w:hAnsi="Aptos"/>
              </w:rPr>
            </w:pPr>
            <w:r w:rsidRPr="00C451C8">
              <w:rPr>
                <w:rFonts w:ascii="Aptos" w:hAnsi="Aptos"/>
              </w:rPr>
              <w:t>tapering support as the student becomes more familiar with course content and the use of assistive technology</w:t>
            </w:r>
          </w:p>
          <w:p w14:paraId="093B07DB" w14:textId="77777777" w:rsidR="007737B5" w:rsidRPr="00C451C8" w:rsidRDefault="007737B5" w:rsidP="007737B5">
            <w:pPr>
              <w:pStyle w:val="TableBullet"/>
              <w:tabs>
                <w:tab w:val="clear" w:pos="360"/>
                <w:tab w:val="num" w:pos="227"/>
              </w:tabs>
              <w:ind w:left="227" w:hanging="227"/>
              <w:cnfStyle w:val="000000100000" w:firstRow="0" w:lastRow="0" w:firstColumn="0" w:lastColumn="0" w:oddVBand="0" w:evenVBand="0" w:oddHBand="1" w:evenHBand="0" w:firstRowFirstColumn="0" w:firstRowLastColumn="0" w:lastRowFirstColumn="0" w:lastRowLastColumn="0"/>
              <w:rPr>
                <w:rFonts w:ascii="Aptos" w:hAnsi="Aptos"/>
              </w:rPr>
            </w:pPr>
            <w:r w:rsidRPr="00C451C8">
              <w:rPr>
                <w:rFonts w:ascii="Aptos" w:hAnsi="Aptos"/>
              </w:rPr>
              <w:t>peak support periods based on the structure of the program of study (for example, whether support is needed consistently throughout a program or focussed on assessment periods)</w:t>
            </w:r>
          </w:p>
          <w:p w14:paraId="38A91475" w14:textId="77777777" w:rsidR="007737B5" w:rsidRPr="00C451C8" w:rsidRDefault="007737B5" w:rsidP="007737B5">
            <w:pPr>
              <w:pStyle w:val="TableBullet"/>
              <w:tabs>
                <w:tab w:val="clear" w:pos="360"/>
                <w:tab w:val="num" w:pos="227"/>
              </w:tabs>
              <w:ind w:left="227" w:hanging="227"/>
              <w:cnfStyle w:val="000000100000" w:firstRow="0" w:lastRow="0" w:firstColumn="0" w:lastColumn="0" w:oddVBand="0" w:evenVBand="0" w:oddHBand="1" w:evenHBand="0" w:firstRowFirstColumn="0" w:firstRowLastColumn="0" w:lastRowFirstColumn="0" w:lastRowLastColumn="0"/>
              <w:rPr>
                <w:rFonts w:ascii="Aptos" w:hAnsi="Aptos"/>
              </w:rPr>
            </w:pPr>
            <w:r w:rsidRPr="00C451C8">
              <w:rPr>
                <w:rFonts w:ascii="Aptos" w:hAnsi="Aptos"/>
              </w:rPr>
              <w:t xml:space="preserve">how the support (Disability Coach, Disability Support Worker, Mentor/Scribe/Interpreter and/or Interpreter will assist to achieve study completion and </w:t>
            </w:r>
          </w:p>
          <w:p w14:paraId="49829350" w14:textId="77777777" w:rsidR="007737B5" w:rsidRPr="00C451C8" w:rsidRDefault="007737B5" w:rsidP="007737B5">
            <w:pPr>
              <w:pStyle w:val="TableBullet"/>
              <w:tabs>
                <w:tab w:val="clear" w:pos="360"/>
                <w:tab w:val="num" w:pos="227"/>
              </w:tabs>
              <w:ind w:left="227" w:hanging="227"/>
              <w:cnfStyle w:val="000000100000" w:firstRow="0" w:lastRow="0" w:firstColumn="0" w:lastColumn="0" w:oddVBand="0" w:evenVBand="0" w:oddHBand="1" w:evenHBand="0" w:firstRowFirstColumn="0" w:firstRowLastColumn="0" w:lastRowFirstColumn="0" w:lastRowLastColumn="0"/>
              <w:rPr>
                <w:rFonts w:ascii="Aptos" w:hAnsi="Aptos"/>
              </w:rPr>
            </w:pPr>
            <w:r w:rsidRPr="00C451C8">
              <w:rPr>
                <w:rFonts w:ascii="Aptos" w:hAnsi="Aptos"/>
              </w:rPr>
              <w:t>how the support will contribute to the student achieving an employment pathway/outcome.</w:t>
            </w:r>
          </w:p>
        </w:tc>
      </w:tr>
    </w:tbl>
    <w:p w14:paraId="42A44788" w14:textId="372D9561" w:rsidR="54883CC4" w:rsidRPr="00314F79" w:rsidRDefault="54883CC4" w:rsidP="00BA2F3E">
      <w:pPr>
        <w:pStyle w:val="ListNumber"/>
        <w:numPr>
          <w:ilvl w:val="0"/>
          <w:numId w:val="0"/>
        </w:numPr>
        <w:ind w:left="567" w:hanging="567"/>
        <w:rPr>
          <w:rFonts w:ascii="Calibri" w:hAnsi="Calibri" w:cs="Calibri"/>
        </w:rPr>
      </w:pPr>
    </w:p>
    <w:sectPr w:rsidR="54883CC4" w:rsidRPr="00314F79" w:rsidSect="008D1F88">
      <w:footerReference w:type="default" r:id="rId19"/>
      <w:headerReference w:type="first" r:id="rId20"/>
      <w:footerReference w:type="first" r:id="rId21"/>
      <w:pgSz w:w="11900" w:h="16840"/>
      <w:pgMar w:top="1701" w:right="1440" w:bottom="170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F3876" w14:textId="77777777" w:rsidR="00EB33C7" w:rsidRDefault="00EB33C7" w:rsidP="00A60625">
      <w:r>
        <w:separator/>
      </w:r>
    </w:p>
  </w:endnote>
  <w:endnote w:type="continuationSeparator" w:id="0">
    <w:p w14:paraId="5617F416" w14:textId="77777777" w:rsidR="00EB33C7" w:rsidRDefault="00EB33C7" w:rsidP="00A60625">
      <w:r>
        <w:continuationSeparator/>
      </w:r>
    </w:p>
  </w:endnote>
  <w:endnote w:type="continuationNotice" w:id="1">
    <w:p w14:paraId="283310CC" w14:textId="77777777" w:rsidR="00EB33C7" w:rsidRDefault="00EB33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7F1FA" w14:textId="64DF6F6A" w:rsidR="007737B5" w:rsidRDefault="00EA0BC2">
    <w:pPr>
      <w:pStyle w:val="Footer"/>
    </w:pPr>
    <w:r>
      <w:rPr>
        <w:noProof/>
      </w:rPr>
      <w:drawing>
        <wp:anchor distT="0" distB="0" distL="114300" distR="114300" simplePos="0" relativeHeight="251663360" behindDoc="0" locked="0" layoutInCell="1" allowOverlap="1" wp14:anchorId="6AC21A0F" wp14:editId="1189BE6A">
          <wp:simplePos x="0" y="0"/>
          <wp:positionH relativeFrom="column">
            <wp:posOffset>3629025</wp:posOffset>
          </wp:positionH>
          <wp:positionV relativeFrom="page">
            <wp:posOffset>9845675</wp:posOffset>
          </wp:positionV>
          <wp:extent cx="2588260" cy="434975"/>
          <wp:effectExtent l="0" t="0" r="2540" b="3175"/>
          <wp:wrapThrough wrapText="bothSides">
            <wp:wrapPolygon edited="0">
              <wp:start x="11605" y="0"/>
              <wp:lineTo x="0" y="5676"/>
              <wp:lineTo x="0" y="20812"/>
              <wp:lineTo x="8903" y="20812"/>
              <wp:lineTo x="13990" y="20812"/>
              <wp:lineTo x="21462" y="19866"/>
              <wp:lineTo x="21462" y="3784"/>
              <wp:lineTo x="12877" y="0"/>
              <wp:lineTo x="11605" y="0"/>
            </wp:wrapPolygon>
          </wp:wrapThrough>
          <wp:docPr id="16832415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24153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88260" cy="43497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E6C62" w14:textId="6B69D214" w:rsidR="00A60625" w:rsidRPr="00C316D2" w:rsidRDefault="00314F79" w:rsidP="00F02B4F">
    <w:pPr>
      <w:rPr>
        <w:sz w:val="16"/>
        <w:szCs w:val="16"/>
      </w:rPr>
    </w:pPr>
    <w:r>
      <w:rPr>
        <w:sz w:val="16"/>
        <w:szCs w:val="16"/>
      </w:rPr>
      <w:t xml:space="preserve">Skills Disability Support – </w:t>
    </w:r>
    <w:r w:rsidR="00BA2F3E">
      <w:rPr>
        <w:sz w:val="16"/>
        <w:szCs w:val="16"/>
      </w:rPr>
      <w:t>Program Guidelines</w:t>
    </w:r>
    <w:r>
      <w:rPr>
        <w:sz w:val="16"/>
        <w:szCs w:val="16"/>
      </w:rPr>
      <w:t xml:space="preserve"> - 2025</w:t>
    </w:r>
    <w:r w:rsidR="00F02B4F">
      <w:tab/>
    </w:r>
    <w:r w:rsidR="00F02B4F">
      <w:tab/>
    </w:r>
    <w:r w:rsidR="00F02B4F">
      <w:tab/>
    </w:r>
    <w:r w:rsidR="54883CC4" w:rsidRPr="54883CC4">
      <w:rPr>
        <w:sz w:val="16"/>
        <w:szCs w:val="16"/>
      </w:rPr>
      <w:t xml:space="preserve">          </w:t>
    </w:r>
    <w:r w:rsidR="00F02B4F">
      <w:tab/>
    </w:r>
    <w:r w:rsidR="00F02B4F">
      <w:tab/>
    </w:r>
    <w:r w:rsidR="00F02B4F">
      <w:tab/>
    </w:r>
    <w:r w:rsidR="00F02B4F" w:rsidRPr="54883CC4">
      <w:rPr>
        <w:noProof/>
        <w:sz w:val="16"/>
        <w:szCs w:val="16"/>
        <w:lang w:val="en-US"/>
      </w:rPr>
      <w:fldChar w:fldCharType="begin"/>
    </w:r>
    <w:r w:rsidR="00F02B4F" w:rsidRPr="54883CC4">
      <w:rPr>
        <w:sz w:val="16"/>
        <w:szCs w:val="16"/>
        <w:lang w:val="en-US"/>
      </w:rPr>
      <w:instrText xml:space="preserve"> PAGE   \* MERGEFORMAT </w:instrText>
    </w:r>
    <w:r w:rsidR="00F02B4F" w:rsidRPr="54883CC4">
      <w:rPr>
        <w:sz w:val="16"/>
        <w:szCs w:val="16"/>
      </w:rPr>
      <w:fldChar w:fldCharType="separate"/>
    </w:r>
    <w:r w:rsidR="54883CC4" w:rsidRPr="54883CC4">
      <w:rPr>
        <w:noProof/>
        <w:sz w:val="16"/>
        <w:szCs w:val="16"/>
        <w:lang w:val="en-US"/>
      </w:rPr>
      <w:t>2</w:t>
    </w:r>
    <w:r w:rsidR="00F02B4F" w:rsidRPr="54883CC4">
      <w:rPr>
        <w:noProof/>
        <w:sz w:val="16"/>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8CEC" w14:textId="58DCB11D" w:rsidR="00F63C69" w:rsidRDefault="00CF08F2">
    <w:pPr>
      <w:pStyle w:val="Footer"/>
    </w:pPr>
    <w:r>
      <w:rPr>
        <w:noProof/>
      </w:rPr>
      <w:drawing>
        <wp:anchor distT="0" distB="0" distL="114300" distR="114300" simplePos="0" relativeHeight="251659264" behindDoc="0" locked="0" layoutInCell="1" allowOverlap="1" wp14:anchorId="25839C26" wp14:editId="6E12E234">
          <wp:simplePos x="0" y="0"/>
          <wp:positionH relativeFrom="column">
            <wp:posOffset>3657600</wp:posOffset>
          </wp:positionH>
          <wp:positionV relativeFrom="page">
            <wp:posOffset>9737090</wp:posOffset>
          </wp:positionV>
          <wp:extent cx="2588260" cy="434975"/>
          <wp:effectExtent l="0" t="0" r="2540" b="3175"/>
          <wp:wrapThrough wrapText="bothSides">
            <wp:wrapPolygon edited="0">
              <wp:start x="11605" y="0"/>
              <wp:lineTo x="0" y="5676"/>
              <wp:lineTo x="0" y="20812"/>
              <wp:lineTo x="8903" y="20812"/>
              <wp:lineTo x="13990" y="20812"/>
              <wp:lineTo x="21462" y="19866"/>
              <wp:lineTo x="21462" y="3784"/>
              <wp:lineTo x="12877" y="0"/>
              <wp:lineTo x="11605" y="0"/>
            </wp:wrapPolygon>
          </wp:wrapThrough>
          <wp:docPr id="79600859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008593"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88260" cy="4349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99CE2" w14:textId="77777777" w:rsidR="00EB33C7" w:rsidRDefault="00EB33C7" w:rsidP="00A60625">
      <w:r>
        <w:separator/>
      </w:r>
    </w:p>
  </w:footnote>
  <w:footnote w:type="continuationSeparator" w:id="0">
    <w:p w14:paraId="5BBC67A9" w14:textId="77777777" w:rsidR="00EB33C7" w:rsidRDefault="00EB33C7" w:rsidP="00A60625">
      <w:r>
        <w:continuationSeparator/>
      </w:r>
    </w:p>
  </w:footnote>
  <w:footnote w:type="continuationNotice" w:id="1">
    <w:p w14:paraId="1C93F0B6" w14:textId="77777777" w:rsidR="00EB33C7" w:rsidRDefault="00EB33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FA7D1" w14:textId="409B6BA7" w:rsidR="007737B5" w:rsidRDefault="007737B5">
    <w:pPr>
      <w:pStyle w:val="Header"/>
    </w:pPr>
    <w:r>
      <w:rPr>
        <w:noProof/>
      </w:rPr>
      <w:drawing>
        <wp:anchor distT="0" distB="0" distL="114300" distR="114300" simplePos="0" relativeHeight="251661312" behindDoc="1" locked="0" layoutInCell="1" allowOverlap="1" wp14:anchorId="040808A4" wp14:editId="0A1CE4FF">
          <wp:simplePos x="0" y="0"/>
          <wp:positionH relativeFrom="page">
            <wp:align>left</wp:align>
          </wp:positionH>
          <wp:positionV relativeFrom="page">
            <wp:align>top</wp:align>
          </wp:positionV>
          <wp:extent cx="7672686" cy="1085850"/>
          <wp:effectExtent l="0" t="0" r="5080" b="0"/>
          <wp:wrapNone/>
          <wp:docPr id="16192129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21293"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72686" cy="1085850"/>
                  </a:xfrm>
                  <a:prstGeom prst="rect">
                    <a:avLst/>
                  </a:prstGeom>
                </pic:spPr>
              </pic:pic>
            </a:graphicData>
          </a:graphic>
          <wp14:sizeRelH relativeFrom="margin">
            <wp14:pctWidth>0</wp14:pctWidth>
          </wp14:sizeRelH>
          <wp14:sizeRelV relativeFrom="margin">
            <wp14:pctHeight>0</wp14:pctHeight>
          </wp14:sizeRelV>
        </wp:anchor>
      </w:drawing>
    </w:r>
    <w:r w:rsidR="00EA0BC2">
      <w:tab/>
    </w:r>
    <w:r w:rsidR="00EA0BC2">
      <w:tab/>
    </w:r>
    <w:r w:rsidR="00EA0BC2">
      <w:tab/>
    </w:r>
    <w:r w:rsidR="00EA0BC2">
      <w:tab/>
    </w:r>
    <w:r w:rsidR="00EA0BC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C8C65" w14:textId="410DD39E" w:rsidR="00A35161" w:rsidRDefault="0009325C">
    <w:pPr>
      <w:pStyle w:val="Header"/>
    </w:pPr>
    <w:r>
      <w:rPr>
        <w:noProof/>
      </w:rPr>
      <w:drawing>
        <wp:anchor distT="0" distB="0" distL="114300" distR="114300" simplePos="0" relativeHeight="251658240" behindDoc="1" locked="0" layoutInCell="1" allowOverlap="1" wp14:anchorId="4A7C26D2" wp14:editId="6C5AAFB0">
          <wp:simplePos x="0" y="0"/>
          <wp:positionH relativeFrom="page">
            <wp:posOffset>14605</wp:posOffset>
          </wp:positionH>
          <wp:positionV relativeFrom="margin">
            <wp:posOffset>-1059815</wp:posOffset>
          </wp:positionV>
          <wp:extent cx="7513394" cy="1073342"/>
          <wp:effectExtent l="0" t="0" r="0" b="0"/>
          <wp:wrapNone/>
          <wp:docPr id="127848911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48911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13394" cy="107334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88AC9D38"/>
    <w:lvl w:ilvl="0">
      <w:start w:val="1"/>
      <w:numFmt w:val="decimal"/>
      <w:pStyle w:val="ListNumber2"/>
      <w:lvlText w:val="%1."/>
      <w:lvlJc w:val="left"/>
      <w:pPr>
        <w:tabs>
          <w:tab w:val="num" w:pos="643"/>
        </w:tabs>
        <w:ind w:left="643" w:hanging="360"/>
      </w:pPr>
    </w:lvl>
  </w:abstractNum>
  <w:abstractNum w:abstractNumId="1" w15:restartNumberingAfterBreak="0">
    <w:nsid w:val="00625772"/>
    <w:multiLevelType w:val="multilevel"/>
    <w:tmpl w:val="E50A313A"/>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 w15:restartNumberingAfterBreak="0">
    <w:nsid w:val="02A81045"/>
    <w:multiLevelType w:val="multilevel"/>
    <w:tmpl w:val="8B12C8E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E23B77"/>
    <w:multiLevelType w:val="multilevel"/>
    <w:tmpl w:val="14626D56"/>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4" w15:restartNumberingAfterBreak="0">
    <w:nsid w:val="0A355121"/>
    <w:multiLevelType w:val="multilevel"/>
    <w:tmpl w:val="6D700200"/>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5" w15:restartNumberingAfterBreak="0">
    <w:nsid w:val="0A6F04A7"/>
    <w:multiLevelType w:val="multilevel"/>
    <w:tmpl w:val="435C9BAC"/>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6" w15:restartNumberingAfterBreak="0">
    <w:nsid w:val="1118750B"/>
    <w:multiLevelType w:val="multilevel"/>
    <w:tmpl w:val="FBD823B8"/>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7" w15:restartNumberingAfterBreak="0">
    <w:nsid w:val="14D14A07"/>
    <w:multiLevelType w:val="multilevel"/>
    <w:tmpl w:val="7AF2167E"/>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8" w15:restartNumberingAfterBreak="0">
    <w:nsid w:val="164A46C8"/>
    <w:multiLevelType w:val="hybridMultilevel"/>
    <w:tmpl w:val="71960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78F7FC7"/>
    <w:multiLevelType w:val="multilevel"/>
    <w:tmpl w:val="876A5380"/>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0" w15:restartNumberingAfterBreak="0">
    <w:nsid w:val="1D1F6F46"/>
    <w:multiLevelType w:val="multilevel"/>
    <w:tmpl w:val="329E1D1C"/>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1" w15:restartNumberingAfterBreak="0">
    <w:nsid w:val="27162B57"/>
    <w:multiLevelType w:val="multilevel"/>
    <w:tmpl w:val="B64E4230"/>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2" w15:restartNumberingAfterBreak="0">
    <w:nsid w:val="2DA012E3"/>
    <w:multiLevelType w:val="multilevel"/>
    <w:tmpl w:val="77BCCDF8"/>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3" w15:restartNumberingAfterBreak="0">
    <w:nsid w:val="38C64CCC"/>
    <w:multiLevelType w:val="multilevel"/>
    <w:tmpl w:val="F3C2DA20"/>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4" w15:restartNumberingAfterBreak="0">
    <w:nsid w:val="3C2228FB"/>
    <w:multiLevelType w:val="multilevel"/>
    <w:tmpl w:val="A0E6383A"/>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5" w15:restartNumberingAfterBreak="0">
    <w:nsid w:val="3C4447DA"/>
    <w:multiLevelType w:val="hybridMultilevel"/>
    <w:tmpl w:val="57AE09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59D487E"/>
    <w:multiLevelType w:val="multilevel"/>
    <w:tmpl w:val="A83444F0"/>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7"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CA6411F"/>
    <w:multiLevelType w:val="hybridMultilevel"/>
    <w:tmpl w:val="11E26B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25D0D8E"/>
    <w:multiLevelType w:val="multilevel"/>
    <w:tmpl w:val="741E15C4"/>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0" w15:restartNumberingAfterBreak="0">
    <w:nsid w:val="54F80244"/>
    <w:multiLevelType w:val="multilevel"/>
    <w:tmpl w:val="1B4E044C"/>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1" w15:restartNumberingAfterBreak="0">
    <w:nsid w:val="54FD3D66"/>
    <w:multiLevelType w:val="multilevel"/>
    <w:tmpl w:val="7326E698"/>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2" w15:restartNumberingAfterBreak="0">
    <w:nsid w:val="59C225A4"/>
    <w:multiLevelType w:val="multilevel"/>
    <w:tmpl w:val="74C41DF8"/>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3" w15:restartNumberingAfterBreak="0">
    <w:nsid w:val="59ED2ADC"/>
    <w:multiLevelType w:val="hybridMultilevel"/>
    <w:tmpl w:val="0114C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25" w15:restartNumberingAfterBreak="0">
    <w:nsid w:val="65F82DD8"/>
    <w:multiLevelType w:val="multilevel"/>
    <w:tmpl w:val="EC226ADE"/>
    <w:lvl w:ilvl="0">
      <w:start w:val="1"/>
      <w:numFmt w:val="decimal"/>
      <w:pStyle w:val="NoHeading1"/>
      <w:lvlText w:val="%1."/>
      <w:lvlJc w:val="left"/>
      <w:pPr>
        <w:tabs>
          <w:tab w:val="num" w:pos="851"/>
        </w:tabs>
        <w:ind w:left="851" w:hanging="851"/>
      </w:pPr>
      <w:rPr>
        <w:rFonts w:hint="default"/>
        <w:b/>
        <w:i w:val="0"/>
        <w:color w:val="304F92"/>
        <w:sz w:val="36"/>
        <w:szCs w:val="22"/>
      </w:rPr>
    </w:lvl>
    <w:lvl w:ilvl="1">
      <w:start w:val="1"/>
      <w:numFmt w:val="decimal"/>
      <w:pStyle w:val="NoHeading2"/>
      <w:lvlText w:val="%1.%2"/>
      <w:lvlJc w:val="left"/>
      <w:pPr>
        <w:tabs>
          <w:tab w:val="num" w:pos="851"/>
        </w:tabs>
        <w:ind w:left="851" w:hanging="851"/>
      </w:pPr>
      <w:rPr>
        <w:rFonts w:hint="default"/>
        <w:b/>
        <w:i w:val="0"/>
        <w:color w:val="4A757F"/>
        <w:sz w:val="32"/>
      </w:rPr>
    </w:lvl>
    <w:lvl w:ilvl="2">
      <w:start w:val="1"/>
      <w:numFmt w:val="decimal"/>
      <w:pStyle w:val="NoHeading3"/>
      <w:lvlText w:val="%1.%2.%3"/>
      <w:lvlJc w:val="left"/>
      <w:pPr>
        <w:tabs>
          <w:tab w:val="num" w:pos="851"/>
        </w:tabs>
        <w:ind w:left="851" w:hanging="851"/>
      </w:pPr>
      <w:rPr>
        <w:rFonts w:hint="default"/>
        <w:b/>
        <w:i w:val="0"/>
        <w:color w:val="0F9AA1"/>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6" w15:restartNumberingAfterBreak="0">
    <w:nsid w:val="662D1B3D"/>
    <w:multiLevelType w:val="multilevel"/>
    <w:tmpl w:val="4934D646"/>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7" w15:restartNumberingAfterBreak="0">
    <w:nsid w:val="6841419B"/>
    <w:multiLevelType w:val="multilevel"/>
    <w:tmpl w:val="43AEEF90"/>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8" w15:restartNumberingAfterBreak="0">
    <w:nsid w:val="6D0A54C0"/>
    <w:multiLevelType w:val="multilevel"/>
    <w:tmpl w:val="239A0D96"/>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9" w15:restartNumberingAfterBreak="0">
    <w:nsid w:val="7B25136F"/>
    <w:multiLevelType w:val="hybridMultilevel"/>
    <w:tmpl w:val="A104C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B68161A"/>
    <w:multiLevelType w:val="multilevel"/>
    <w:tmpl w:val="3BF0B4C0"/>
    <w:lvl w:ilvl="0">
      <w:start w:val="1"/>
      <w:numFmt w:val="decimal"/>
      <w:lvlText w:val="%1."/>
      <w:lvlJc w:val="left"/>
      <w:pPr>
        <w:tabs>
          <w:tab w:val="num" w:pos="851"/>
        </w:tabs>
        <w:ind w:left="851" w:hanging="851"/>
      </w:pPr>
      <w:rPr>
        <w:rFonts w:hint="default"/>
        <w:b/>
        <w:i w:val="0"/>
        <w:color w:val="304F92"/>
        <w:sz w:val="36"/>
        <w:szCs w:val="22"/>
      </w:rPr>
    </w:lvl>
    <w:lvl w:ilvl="1">
      <w:start w:val="1"/>
      <w:numFmt w:val="decimal"/>
      <w:lvlText w:val="%1.%2"/>
      <w:lvlJc w:val="left"/>
      <w:pPr>
        <w:tabs>
          <w:tab w:val="num" w:pos="851"/>
        </w:tabs>
        <w:ind w:left="851" w:hanging="851"/>
      </w:pPr>
      <w:rPr>
        <w:rFonts w:hint="default"/>
        <w:b/>
        <w:i w:val="0"/>
        <w:color w:val="4A757F"/>
        <w:sz w:val="32"/>
      </w:rPr>
    </w:lvl>
    <w:lvl w:ilvl="2">
      <w:start w:val="1"/>
      <w:numFmt w:val="decimal"/>
      <w:lvlText w:val="%1.%2.%3"/>
      <w:lvlJc w:val="left"/>
      <w:pPr>
        <w:tabs>
          <w:tab w:val="num" w:pos="851"/>
        </w:tabs>
        <w:ind w:left="851" w:hanging="851"/>
      </w:pPr>
      <w:rPr>
        <w:rFonts w:hint="default"/>
        <w:b/>
        <w:i w:val="0"/>
        <w:color w:val="0F9AA1"/>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lowerLett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31" w15:restartNumberingAfterBreak="0">
    <w:nsid w:val="7FB227DB"/>
    <w:multiLevelType w:val="hybridMultilevel"/>
    <w:tmpl w:val="2118FA04"/>
    <w:lvl w:ilvl="0" w:tplc="9C1ED364">
      <w:start w:val="1"/>
      <w:numFmt w:val="decimal"/>
      <w:pStyle w:val="AppendixHeading1"/>
      <w:lvlText w:val="Appendix %1"/>
      <w:lvlJc w:val="left"/>
      <w:pPr>
        <w:tabs>
          <w:tab w:val="num" w:pos="2835"/>
        </w:tabs>
        <w:ind w:left="2835" w:hanging="2835"/>
      </w:pPr>
      <w:rPr>
        <w:rFonts w:hint="default"/>
        <w:b/>
        <w:i w:val="0"/>
        <w:sz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488638317">
    <w:abstractNumId w:val="24"/>
  </w:num>
  <w:num w:numId="2" w16cid:durableId="2104910615">
    <w:abstractNumId w:val="25"/>
  </w:num>
  <w:num w:numId="3" w16cid:durableId="1981960688">
    <w:abstractNumId w:val="1"/>
  </w:num>
  <w:num w:numId="4" w16cid:durableId="105732570">
    <w:abstractNumId w:val="22"/>
  </w:num>
  <w:num w:numId="5" w16cid:durableId="338657181">
    <w:abstractNumId w:val="30"/>
  </w:num>
  <w:num w:numId="6" w16cid:durableId="41179980">
    <w:abstractNumId w:val="19"/>
  </w:num>
  <w:num w:numId="7" w16cid:durableId="1151562178">
    <w:abstractNumId w:val="14"/>
  </w:num>
  <w:num w:numId="8" w16cid:durableId="981468607">
    <w:abstractNumId w:val="21"/>
  </w:num>
  <w:num w:numId="9" w16cid:durableId="1225720587">
    <w:abstractNumId w:val="11"/>
  </w:num>
  <w:num w:numId="10" w16cid:durableId="1442217276">
    <w:abstractNumId w:val="16"/>
  </w:num>
  <w:num w:numId="11" w16cid:durableId="796483540">
    <w:abstractNumId w:val="28"/>
  </w:num>
  <w:num w:numId="12" w16cid:durableId="604846704">
    <w:abstractNumId w:val="3"/>
  </w:num>
  <w:num w:numId="13" w16cid:durableId="2002810838">
    <w:abstractNumId w:val="6"/>
  </w:num>
  <w:num w:numId="14" w16cid:durableId="184294133">
    <w:abstractNumId w:val="4"/>
  </w:num>
  <w:num w:numId="15" w16cid:durableId="1656298043">
    <w:abstractNumId w:val="12"/>
  </w:num>
  <w:num w:numId="16" w16cid:durableId="14842854">
    <w:abstractNumId w:val="10"/>
  </w:num>
  <w:num w:numId="17" w16cid:durableId="320354950">
    <w:abstractNumId w:val="9"/>
  </w:num>
  <w:num w:numId="18" w16cid:durableId="158734108">
    <w:abstractNumId w:val="26"/>
  </w:num>
  <w:num w:numId="19" w16cid:durableId="1749767581">
    <w:abstractNumId w:val="5"/>
  </w:num>
  <w:num w:numId="20" w16cid:durableId="1678651427">
    <w:abstractNumId w:val="13"/>
  </w:num>
  <w:num w:numId="21" w16cid:durableId="1343892701">
    <w:abstractNumId w:val="27"/>
  </w:num>
  <w:num w:numId="22" w16cid:durableId="1924296710">
    <w:abstractNumId w:val="7"/>
  </w:num>
  <w:num w:numId="23" w16cid:durableId="1182008384">
    <w:abstractNumId w:val="20"/>
  </w:num>
  <w:num w:numId="24" w16cid:durableId="687565001">
    <w:abstractNumId w:val="17"/>
  </w:num>
  <w:num w:numId="25" w16cid:durableId="1555890882">
    <w:abstractNumId w:val="0"/>
  </w:num>
  <w:num w:numId="26" w16cid:durableId="114980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4668348">
    <w:abstractNumId w:val="23"/>
  </w:num>
  <w:num w:numId="28" w16cid:durableId="1364211164">
    <w:abstractNumId w:val="29"/>
  </w:num>
  <w:num w:numId="29" w16cid:durableId="471212707">
    <w:abstractNumId w:val="18"/>
  </w:num>
  <w:num w:numId="30" w16cid:durableId="2139034236">
    <w:abstractNumId w:val="15"/>
  </w:num>
  <w:num w:numId="31" w16cid:durableId="1594974952">
    <w:abstractNumId w:val="8"/>
  </w:num>
  <w:num w:numId="32" w16cid:durableId="163867936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25"/>
    <w:rsid w:val="00023433"/>
    <w:rsid w:val="00031C6C"/>
    <w:rsid w:val="0009325C"/>
    <w:rsid w:val="000D0CD9"/>
    <w:rsid w:val="000D1EE8"/>
    <w:rsid w:val="000D4FFB"/>
    <w:rsid w:val="00122EA0"/>
    <w:rsid w:val="00137CE0"/>
    <w:rsid w:val="00146C4A"/>
    <w:rsid w:val="00160E7B"/>
    <w:rsid w:val="001D2971"/>
    <w:rsid w:val="001E72D9"/>
    <w:rsid w:val="001F22F6"/>
    <w:rsid w:val="00203448"/>
    <w:rsid w:val="00241CA7"/>
    <w:rsid w:val="00262137"/>
    <w:rsid w:val="00263AC4"/>
    <w:rsid w:val="00272CC3"/>
    <w:rsid w:val="002817C0"/>
    <w:rsid w:val="00290ADA"/>
    <w:rsid w:val="002A05B5"/>
    <w:rsid w:val="002A486F"/>
    <w:rsid w:val="002D0E95"/>
    <w:rsid w:val="002D36AD"/>
    <w:rsid w:val="002F0660"/>
    <w:rsid w:val="002F0B6E"/>
    <w:rsid w:val="00314F79"/>
    <w:rsid w:val="00317431"/>
    <w:rsid w:val="0036058E"/>
    <w:rsid w:val="00371212"/>
    <w:rsid w:val="00377C89"/>
    <w:rsid w:val="0038033F"/>
    <w:rsid w:val="00395ECD"/>
    <w:rsid w:val="003B5DA1"/>
    <w:rsid w:val="003B61EE"/>
    <w:rsid w:val="003D534C"/>
    <w:rsid w:val="003F10DB"/>
    <w:rsid w:val="00417C83"/>
    <w:rsid w:val="00443332"/>
    <w:rsid w:val="0045764F"/>
    <w:rsid w:val="00465EA6"/>
    <w:rsid w:val="00473774"/>
    <w:rsid w:val="00480A65"/>
    <w:rsid w:val="004A17DD"/>
    <w:rsid w:val="004A2A15"/>
    <w:rsid w:val="004C48B2"/>
    <w:rsid w:val="005003FE"/>
    <w:rsid w:val="00501476"/>
    <w:rsid w:val="0051089B"/>
    <w:rsid w:val="00527AA3"/>
    <w:rsid w:val="00544264"/>
    <w:rsid w:val="00567B21"/>
    <w:rsid w:val="00575E4F"/>
    <w:rsid w:val="005F3E18"/>
    <w:rsid w:val="00625638"/>
    <w:rsid w:val="0064088F"/>
    <w:rsid w:val="0066755A"/>
    <w:rsid w:val="006760BD"/>
    <w:rsid w:val="006B0AED"/>
    <w:rsid w:val="006B4D4D"/>
    <w:rsid w:val="006C6876"/>
    <w:rsid w:val="00733206"/>
    <w:rsid w:val="00751364"/>
    <w:rsid w:val="0076408D"/>
    <w:rsid w:val="007737B5"/>
    <w:rsid w:val="0077786F"/>
    <w:rsid w:val="00797671"/>
    <w:rsid w:val="007D69AF"/>
    <w:rsid w:val="007E4ACA"/>
    <w:rsid w:val="00830C94"/>
    <w:rsid w:val="008327F7"/>
    <w:rsid w:val="00842A2A"/>
    <w:rsid w:val="00860184"/>
    <w:rsid w:val="008A2F96"/>
    <w:rsid w:val="008A3CB3"/>
    <w:rsid w:val="008D1F88"/>
    <w:rsid w:val="008D328E"/>
    <w:rsid w:val="008D382F"/>
    <w:rsid w:val="008F65C1"/>
    <w:rsid w:val="00902220"/>
    <w:rsid w:val="00911FD8"/>
    <w:rsid w:val="0091511E"/>
    <w:rsid w:val="0093366F"/>
    <w:rsid w:val="00934278"/>
    <w:rsid w:val="0097320D"/>
    <w:rsid w:val="009C3FCF"/>
    <w:rsid w:val="009C57F4"/>
    <w:rsid w:val="009C7E7E"/>
    <w:rsid w:val="009D06B0"/>
    <w:rsid w:val="009E161D"/>
    <w:rsid w:val="00A00CF2"/>
    <w:rsid w:val="00A35161"/>
    <w:rsid w:val="00A355D4"/>
    <w:rsid w:val="00A43F84"/>
    <w:rsid w:val="00A4737E"/>
    <w:rsid w:val="00A60625"/>
    <w:rsid w:val="00A6610D"/>
    <w:rsid w:val="00AA5093"/>
    <w:rsid w:val="00AB455A"/>
    <w:rsid w:val="00AC4006"/>
    <w:rsid w:val="00AC7CC9"/>
    <w:rsid w:val="00AE7B10"/>
    <w:rsid w:val="00B059ED"/>
    <w:rsid w:val="00B27424"/>
    <w:rsid w:val="00B85098"/>
    <w:rsid w:val="00B9505F"/>
    <w:rsid w:val="00BA24A8"/>
    <w:rsid w:val="00BA2F3E"/>
    <w:rsid w:val="00C316D2"/>
    <w:rsid w:val="00C451C8"/>
    <w:rsid w:val="00C5071C"/>
    <w:rsid w:val="00C55805"/>
    <w:rsid w:val="00C93068"/>
    <w:rsid w:val="00C956DE"/>
    <w:rsid w:val="00C975E9"/>
    <w:rsid w:val="00CA6FDE"/>
    <w:rsid w:val="00CB37B9"/>
    <w:rsid w:val="00CD3A63"/>
    <w:rsid w:val="00CE2E56"/>
    <w:rsid w:val="00CE729C"/>
    <w:rsid w:val="00CF08F2"/>
    <w:rsid w:val="00CF74EB"/>
    <w:rsid w:val="00D33DDE"/>
    <w:rsid w:val="00DC58B7"/>
    <w:rsid w:val="00DF14BF"/>
    <w:rsid w:val="00E01B9F"/>
    <w:rsid w:val="00E13709"/>
    <w:rsid w:val="00E56AB6"/>
    <w:rsid w:val="00E63D6A"/>
    <w:rsid w:val="00E90765"/>
    <w:rsid w:val="00EA0BC2"/>
    <w:rsid w:val="00EB33C7"/>
    <w:rsid w:val="00F02B4F"/>
    <w:rsid w:val="00F512A1"/>
    <w:rsid w:val="00F63C69"/>
    <w:rsid w:val="00FB4391"/>
    <w:rsid w:val="00FC7476"/>
    <w:rsid w:val="061E6C34"/>
    <w:rsid w:val="0D86C3FB"/>
    <w:rsid w:val="13006201"/>
    <w:rsid w:val="1690D679"/>
    <w:rsid w:val="3508D811"/>
    <w:rsid w:val="3B32A1FA"/>
    <w:rsid w:val="4C17D2DC"/>
    <w:rsid w:val="54883CC4"/>
    <w:rsid w:val="5D7DD3B8"/>
    <w:rsid w:val="5E644D37"/>
    <w:rsid w:val="62E91EC9"/>
    <w:rsid w:val="7240973E"/>
    <w:rsid w:val="7C4A75C2"/>
    <w:rsid w:val="7D09DA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67BB6"/>
  <w15:chartTrackingRefBased/>
  <w15:docId w15:val="{440868F3-31A0-A74A-9B79-34F47A03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4A8"/>
    <w:pPr>
      <w:spacing w:after="120"/>
    </w:pPr>
    <w:rPr>
      <w:rFonts w:ascii="Arial" w:hAnsi="Arial"/>
      <w:sz w:val="22"/>
    </w:rPr>
  </w:style>
  <w:style w:type="paragraph" w:styleId="Heading1">
    <w:name w:val="heading 1"/>
    <w:basedOn w:val="Normal"/>
    <w:next w:val="Normal"/>
    <w:link w:val="Heading1Char"/>
    <w:uiPriority w:val="9"/>
    <w:qFormat/>
    <w:rsid w:val="0038033F"/>
    <w:pPr>
      <w:keepNext/>
      <w:keepLines/>
      <w:spacing w:before="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CD3A63"/>
    <w:pPr>
      <w:keepNext/>
      <w:keepLines/>
      <w:spacing w:before="120"/>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C316D2"/>
    <w:pPr>
      <w:keepNext/>
      <w:keepLines/>
      <w:spacing w:before="40"/>
      <w:outlineLvl w:val="2"/>
    </w:pPr>
    <w:rPr>
      <w:rFonts w:eastAsiaTheme="majorEastAsia" w:cstheme="majorBid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625"/>
    <w:pPr>
      <w:tabs>
        <w:tab w:val="center" w:pos="4513"/>
        <w:tab w:val="right" w:pos="9026"/>
      </w:tabs>
    </w:pPr>
  </w:style>
  <w:style w:type="character" w:customStyle="1" w:styleId="HeaderChar">
    <w:name w:val="Header Char"/>
    <w:basedOn w:val="DefaultParagraphFont"/>
    <w:link w:val="Header"/>
    <w:uiPriority w:val="99"/>
    <w:rsid w:val="00A60625"/>
  </w:style>
  <w:style w:type="paragraph" w:styleId="Footer">
    <w:name w:val="footer"/>
    <w:basedOn w:val="Normal"/>
    <w:link w:val="FooterChar"/>
    <w:uiPriority w:val="99"/>
    <w:unhideWhenUsed/>
    <w:rsid w:val="00A60625"/>
    <w:pPr>
      <w:tabs>
        <w:tab w:val="center" w:pos="4513"/>
        <w:tab w:val="right" w:pos="9026"/>
      </w:tabs>
    </w:pPr>
  </w:style>
  <w:style w:type="character" w:customStyle="1" w:styleId="FooterChar">
    <w:name w:val="Footer Char"/>
    <w:basedOn w:val="DefaultParagraphFont"/>
    <w:link w:val="Footer"/>
    <w:uiPriority w:val="99"/>
    <w:rsid w:val="00A60625"/>
  </w:style>
  <w:style w:type="character" w:customStyle="1" w:styleId="Heading1Char">
    <w:name w:val="Heading 1 Char"/>
    <w:basedOn w:val="DefaultParagraphFont"/>
    <w:link w:val="Heading1"/>
    <w:uiPriority w:val="9"/>
    <w:rsid w:val="0038033F"/>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CD3A63"/>
    <w:rPr>
      <w:rFonts w:ascii="Arial" w:eastAsiaTheme="majorEastAsia" w:hAnsi="Arial" w:cstheme="majorBidi"/>
      <w:sz w:val="28"/>
      <w:szCs w:val="26"/>
    </w:rPr>
  </w:style>
  <w:style w:type="character" w:customStyle="1" w:styleId="Heading3Char">
    <w:name w:val="Heading 3 Char"/>
    <w:basedOn w:val="DefaultParagraphFont"/>
    <w:link w:val="Heading3"/>
    <w:uiPriority w:val="9"/>
    <w:rsid w:val="00CD3A63"/>
    <w:rPr>
      <w:rFonts w:ascii="Arial" w:eastAsiaTheme="majorEastAsia" w:hAnsi="Arial" w:cstheme="majorBidi"/>
      <w:szCs w:val="28"/>
    </w:rPr>
  </w:style>
  <w:style w:type="paragraph" w:styleId="TOC1">
    <w:name w:val="toc 1"/>
    <w:basedOn w:val="Normal"/>
    <w:next w:val="Normal"/>
    <w:uiPriority w:val="39"/>
    <w:unhideWhenUsed/>
    <w:rsid w:val="4C17D2DC"/>
    <w:pPr>
      <w:spacing w:after="100"/>
    </w:pPr>
  </w:style>
  <w:style w:type="character" w:styleId="Hyperlink">
    <w:name w:val="Hyperlink"/>
    <w:basedOn w:val="DefaultParagraphFont"/>
    <w:uiPriority w:val="99"/>
    <w:unhideWhenUsed/>
    <w:rsid w:val="4C17D2DC"/>
    <w:rPr>
      <w:color w:val="0563C1"/>
      <w:u w:val="single"/>
    </w:rPr>
  </w:style>
  <w:style w:type="paragraph" w:styleId="TOC2">
    <w:name w:val="toc 2"/>
    <w:basedOn w:val="Normal"/>
    <w:next w:val="Normal"/>
    <w:uiPriority w:val="39"/>
    <w:unhideWhenUsed/>
    <w:rsid w:val="4C17D2DC"/>
    <w:pPr>
      <w:spacing w:after="100"/>
      <w:ind w:left="220"/>
    </w:pPr>
  </w:style>
  <w:style w:type="paragraph" w:styleId="TOC3">
    <w:name w:val="toc 3"/>
    <w:basedOn w:val="Normal"/>
    <w:next w:val="Normal"/>
    <w:uiPriority w:val="39"/>
    <w:unhideWhenUsed/>
    <w:rsid w:val="4C17D2DC"/>
    <w:pPr>
      <w:spacing w:after="100"/>
      <w:ind w:left="440"/>
    </w:pPr>
  </w:style>
  <w:style w:type="paragraph" w:styleId="ListBullet">
    <w:name w:val="List Bullet"/>
    <w:qFormat/>
    <w:rsid w:val="00314F79"/>
    <w:pPr>
      <w:numPr>
        <w:numId w:val="1"/>
      </w:numPr>
      <w:spacing w:before="60" w:after="60" w:line="276" w:lineRule="auto"/>
    </w:pPr>
    <w:rPr>
      <w:rFonts w:ascii="Arial" w:eastAsia="Times New Roman" w:hAnsi="Arial" w:cs="Times New Roman"/>
      <w:snapToGrid w:val="0"/>
      <w:sz w:val="22"/>
      <w:lang w:eastAsia="en-AU"/>
    </w:rPr>
  </w:style>
  <w:style w:type="paragraph" w:styleId="ListNumber">
    <w:name w:val="List Number"/>
    <w:aliases w:val="Numbered level 1"/>
    <w:basedOn w:val="Normal"/>
    <w:rsid w:val="00314F79"/>
    <w:pPr>
      <w:numPr>
        <w:ilvl w:val="5"/>
        <w:numId w:val="2"/>
      </w:numPr>
      <w:spacing w:before="60" w:after="60" w:line="276" w:lineRule="auto"/>
    </w:pPr>
    <w:rPr>
      <w:rFonts w:eastAsia="Times New Roman" w:cs="Times New Roman"/>
      <w:color w:val="000000"/>
      <w:lang w:eastAsia="en-AU"/>
    </w:rPr>
  </w:style>
  <w:style w:type="paragraph" w:customStyle="1" w:styleId="NoHeading1">
    <w:name w:val="No. Heading 1"/>
    <w:basedOn w:val="Heading1"/>
    <w:next w:val="BodyText"/>
    <w:rsid w:val="00314F79"/>
    <w:pPr>
      <w:keepLines w:val="0"/>
      <w:numPr>
        <w:numId w:val="2"/>
      </w:numPr>
      <w:spacing w:after="240"/>
    </w:pPr>
    <w:rPr>
      <w:rFonts w:eastAsia="Times New Roman" w:cs="Times New Roman"/>
      <w:color w:val="ED7D31" w:themeColor="accent2"/>
      <w:szCs w:val="24"/>
      <w:lang w:eastAsia="en-AU"/>
    </w:rPr>
  </w:style>
  <w:style w:type="paragraph" w:customStyle="1" w:styleId="NoHeading2">
    <w:name w:val="No. Heading 2"/>
    <w:basedOn w:val="Heading2"/>
    <w:next w:val="BodyText"/>
    <w:rsid w:val="00314F79"/>
    <w:pPr>
      <w:keepLines w:val="0"/>
      <w:numPr>
        <w:ilvl w:val="1"/>
        <w:numId w:val="2"/>
      </w:numPr>
    </w:pPr>
    <w:rPr>
      <w:rFonts w:eastAsia="Times New Roman" w:cs="Times New Roman"/>
      <w:color w:val="ED7D31" w:themeColor="accent2"/>
      <w:sz w:val="32"/>
      <w:szCs w:val="24"/>
      <w:lang w:eastAsia="en-AU"/>
    </w:rPr>
  </w:style>
  <w:style w:type="paragraph" w:customStyle="1" w:styleId="TableRef">
    <w:name w:val="Table Ref"/>
    <w:basedOn w:val="Normal"/>
    <w:next w:val="BodyText"/>
    <w:rsid w:val="00314F79"/>
    <w:pPr>
      <w:numPr>
        <w:ilvl w:val="4"/>
        <w:numId w:val="2"/>
      </w:numPr>
      <w:spacing w:before="120"/>
    </w:pPr>
    <w:rPr>
      <w:rFonts w:eastAsia="Times New Roman" w:cs="Times New Roman"/>
      <w:b/>
      <w:sz w:val="20"/>
      <w:szCs w:val="18"/>
      <w:lang w:eastAsia="en-AU"/>
    </w:rPr>
  </w:style>
  <w:style w:type="paragraph" w:customStyle="1" w:styleId="FigureRef">
    <w:name w:val="Figure Ref"/>
    <w:basedOn w:val="TableRef"/>
    <w:next w:val="BodyText"/>
    <w:rsid w:val="00314F79"/>
    <w:pPr>
      <w:numPr>
        <w:ilvl w:val="3"/>
      </w:numPr>
    </w:pPr>
  </w:style>
  <w:style w:type="paragraph" w:customStyle="1" w:styleId="NoHeading3">
    <w:name w:val="No. Heading 3"/>
    <w:basedOn w:val="Heading3"/>
    <w:next w:val="BodyText"/>
    <w:rsid w:val="00314F79"/>
    <w:pPr>
      <w:keepLines w:val="0"/>
      <w:numPr>
        <w:ilvl w:val="2"/>
        <w:numId w:val="2"/>
      </w:numPr>
      <w:pBdr>
        <w:top w:val="single" w:sz="12" w:space="4" w:color="4472C4" w:themeColor="accent1"/>
      </w:pBdr>
      <w:spacing w:before="160"/>
    </w:pPr>
    <w:rPr>
      <w:rFonts w:eastAsia="Times New Roman" w:cs="Times New Roman"/>
      <w:b/>
      <w:color w:val="000000" w:themeColor="text1"/>
      <w:sz w:val="28"/>
      <w:szCs w:val="24"/>
      <w:lang w:eastAsia="en-AU"/>
    </w:rPr>
  </w:style>
  <w:style w:type="paragraph" w:customStyle="1" w:styleId="Bodycopy">
    <w:name w:val="Body copy"/>
    <w:basedOn w:val="Normal"/>
    <w:link w:val="BodycopyChar"/>
    <w:qFormat/>
    <w:rsid w:val="00314F79"/>
    <w:pPr>
      <w:keepNext/>
      <w:spacing w:before="240" w:after="240"/>
    </w:pPr>
    <w:rPr>
      <w:rFonts w:eastAsia="Times New Roman" w:cs="Times New Roman"/>
      <w:lang w:eastAsia="en-AU"/>
    </w:rPr>
  </w:style>
  <w:style w:type="character" w:customStyle="1" w:styleId="BodycopyChar">
    <w:name w:val="Body copy Char"/>
    <w:basedOn w:val="DefaultParagraphFont"/>
    <w:link w:val="Bodycopy"/>
    <w:rsid w:val="00314F79"/>
    <w:rPr>
      <w:rFonts w:ascii="Arial" w:eastAsia="Times New Roman" w:hAnsi="Arial" w:cs="Times New Roman"/>
      <w:sz w:val="22"/>
      <w:lang w:eastAsia="en-AU"/>
    </w:rPr>
  </w:style>
  <w:style w:type="paragraph" w:styleId="BodyText">
    <w:name w:val="Body Text"/>
    <w:basedOn w:val="Normal"/>
    <w:link w:val="BodyTextChar"/>
    <w:uiPriority w:val="99"/>
    <w:semiHidden/>
    <w:unhideWhenUsed/>
    <w:rsid w:val="00314F79"/>
  </w:style>
  <w:style w:type="character" w:customStyle="1" w:styleId="BodyTextChar">
    <w:name w:val="Body Text Char"/>
    <w:basedOn w:val="DefaultParagraphFont"/>
    <w:link w:val="BodyText"/>
    <w:uiPriority w:val="99"/>
    <w:semiHidden/>
    <w:rsid w:val="00314F79"/>
    <w:rPr>
      <w:rFonts w:ascii="Arial" w:hAnsi="Arial"/>
      <w:sz w:val="22"/>
    </w:rPr>
  </w:style>
  <w:style w:type="paragraph" w:customStyle="1" w:styleId="TableBullet">
    <w:name w:val="Table Bullet"/>
    <w:basedOn w:val="TableTextLeft"/>
    <w:rsid w:val="00BA2F3E"/>
    <w:pPr>
      <w:numPr>
        <w:numId w:val="24"/>
      </w:numPr>
      <w:tabs>
        <w:tab w:val="clear" w:pos="227"/>
        <w:tab w:val="num" w:pos="360"/>
      </w:tabs>
      <w:ind w:left="0" w:firstLine="0"/>
    </w:pPr>
  </w:style>
  <w:style w:type="paragraph" w:customStyle="1" w:styleId="TableTextLeft">
    <w:name w:val="Table Text Left"/>
    <w:basedOn w:val="Normal"/>
    <w:link w:val="TableTextLeftCharChar"/>
    <w:rsid w:val="00BA2F3E"/>
    <w:pPr>
      <w:spacing w:before="60" w:after="40"/>
    </w:pPr>
    <w:rPr>
      <w:rFonts w:eastAsia="MS Mincho" w:cs="Times New Roman"/>
      <w:sz w:val="20"/>
    </w:rPr>
  </w:style>
  <w:style w:type="character" w:customStyle="1" w:styleId="TableTextLeftCharChar">
    <w:name w:val="Table Text Left Char Char"/>
    <w:basedOn w:val="DefaultParagraphFont"/>
    <w:link w:val="TableTextLeft"/>
    <w:rsid w:val="00BA2F3E"/>
    <w:rPr>
      <w:rFonts w:ascii="Arial" w:eastAsia="MS Mincho" w:hAnsi="Arial" w:cs="Times New Roman"/>
      <w:sz w:val="20"/>
    </w:rPr>
  </w:style>
  <w:style w:type="paragraph" w:customStyle="1" w:styleId="TableHeadingLeft">
    <w:name w:val="Table Heading Left"/>
    <w:basedOn w:val="TableTextLeft"/>
    <w:rsid w:val="00BA2F3E"/>
    <w:rPr>
      <w:b/>
    </w:rPr>
  </w:style>
  <w:style w:type="table" w:styleId="ListTable3-Accent2">
    <w:name w:val="List Table 3 Accent 2"/>
    <w:basedOn w:val="TableNormal"/>
    <w:uiPriority w:val="48"/>
    <w:rsid w:val="00BA2F3E"/>
    <w:rPr>
      <w:rFonts w:ascii="Times New Roman" w:eastAsia="Times New Roman" w:hAnsi="Times New Roman" w:cs="Times New Roman"/>
      <w:sz w:val="20"/>
      <w:szCs w:val="20"/>
      <w:lang w:eastAsia="en-A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ListNumber2">
    <w:name w:val="List Number 2"/>
    <w:basedOn w:val="Normal"/>
    <w:uiPriority w:val="99"/>
    <w:unhideWhenUsed/>
    <w:rsid w:val="007737B5"/>
    <w:pPr>
      <w:numPr>
        <w:numId w:val="25"/>
      </w:numPr>
      <w:spacing w:after="0"/>
      <w:contextualSpacing/>
    </w:pPr>
    <w:rPr>
      <w:rFonts w:eastAsia="Times New Roman" w:cs="Times New Roman"/>
      <w:lang w:eastAsia="en-AU"/>
    </w:rPr>
  </w:style>
  <w:style w:type="table" w:styleId="GridTable1Light">
    <w:name w:val="Grid Table 1 Light"/>
    <w:basedOn w:val="TableNormal"/>
    <w:uiPriority w:val="46"/>
    <w:rsid w:val="007737B5"/>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ppendixHeading1">
    <w:name w:val="Appendix Heading 1"/>
    <w:basedOn w:val="Normal"/>
    <w:next w:val="BodyText"/>
    <w:rsid w:val="007737B5"/>
    <w:pPr>
      <w:keepNext/>
      <w:pageBreakBefore/>
      <w:numPr>
        <w:numId w:val="32"/>
      </w:numPr>
      <w:spacing w:before="200" w:after="240"/>
      <w:outlineLvl w:val="0"/>
    </w:pPr>
    <w:rPr>
      <w:rFonts w:eastAsia="Times New Roman" w:cs="Times New Roman"/>
      <w:b/>
      <w:noProof/>
      <w:color w:val="ED7D31" w:themeColor="accent2"/>
      <w:sz w:val="36"/>
      <w:szCs w:val="36"/>
      <w:lang w:eastAsia="en-AU"/>
    </w:rPr>
  </w:style>
  <w:style w:type="paragraph" w:customStyle="1" w:styleId="TableHeadingLeft-Black">
    <w:name w:val="Table Heading Left - Black"/>
    <w:basedOn w:val="TableTextLeft"/>
    <w:rsid w:val="007737B5"/>
    <w:rPr>
      <w:b/>
    </w:rPr>
  </w:style>
  <w:style w:type="table" w:styleId="ListTable3-Accent3">
    <w:name w:val="List Table 3 Accent 3"/>
    <w:basedOn w:val="TableNormal"/>
    <w:uiPriority w:val="48"/>
    <w:rsid w:val="007737B5"/>
    <w:rPr>
      <w:rFonts w:ascii="Times New Roman" w:eastAsia="Times New Roman" w:hAnsi="Times New Roman" w:cs="Times New Roman"/>
      <w:sz w:val="20"/>
      <w:szCs w:val="20"/>
      <w:lang w:eastAsia="en-A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killsDisabilitySupport@desbt.qld.gov.au" TargetMode="External"/><Relationship Id="rId18" Type="http://schemas.openxmlformats.org/officeDocument/2006/relationships/hyperlink" Target="mailto:SkillsDisabilitySupport@desbt.qld.gov.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desbt.qld.gov.au/__data/assets/pdf_file/0013/8050/sds-terms-of-us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bt.qld.gov.au/__data/assets/pdf_file/0024/7980/sds-guidelines.pdf" TargetMode="External"/><Relationship Id="rId5" Type="http://schemas.openxmlformats.org/officeDocument/2006/relationships/numbering" Target="numbering.xml"/><Relationship Id="rId15" Type="http://schemas.openxmlformats.org/officeDocument/2006/relationships/hyperlink" Target="https://desbt.qld.gov.au/__data/assets/pdf_file/0013/8050/sds-terms-of-use.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bt.qld.gov.au/__data/assets/word_doc/0019/8074/sds-application.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a6d513ee-f771-4d67-ba0a-282864486c78">
      <Terms xmlns="http://schemas.microsoft.com/office/infopath/2007/PartnerControls"/>
    </lcf76f155ced4ddcb4097134ff3c332f>
    <_dlc_DocId xmlns="dbefc7fa-1a1d-4432-8b48-0661d01a2bf9">NER3HZ3QZUNC-2053068419-21953</_dlc_DocId>
    <_dlc_DocIdUrl xmlns="dbefc7fa-1a1d-4432-8b48-0661d01a2bf9">
      <Url>https://dsitiaqld.sharepoint.com/sites/DESBT/engagement/customer-experience/communications/_layouts/15/DocIdRedir.aspx?ID=NER3HZ3QZUNC-2053068419-21953</Url>
      <Description>NER3HZ3QZUNC-2053068419-21953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F2DADD5570B447AB905B429A0D4B9E" ma:contentTypeVersion="286" ma:contentTypeDescription="Create a new document." ma:contentTypeScope="" ma:versionID="ce8e2db73cf1df45d5ffda5c29f7f690">
  <xsd:schema xmlns:xsd="http://www.w3.org/2001/XMLSchema" xmlns:xs="http://www.w3.org/2001/XMLSchema" xmlns:p="http://schemas.microsoft.com/office/2006/metadata/properties" xmlns:ns2="dbefc7fa-1a1d-4432-8b48-0661d01a2bf9" xmlns:ns3="a6d513ee-f771-4d67-ba0a-282864486c78" xmlns:ns4="6fbbf639-a96b-4cb5-b890-7fc984a8433e" targetNamespace="http://schemas.microsoft.com/office/2006/metadata/properties" ma:root="true" ma:fieldsID="f3e4122303cc875181c60659e7e3ece5" ns2:_="" ns3:_="" ns4:_="">
    <xsd:import namespace="dbefc7fa-1a1d-4432-8b48-0661d01a2bf9"/>
    <xsd:import namespace="a6d513ee-f771-4d67-ba0a-282864486c78"/>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d513ee-f771-4d67-ba0a-282864486c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969C78-FD1E-4263-9A26-CC5B4C37438E}">
  <ds:schemaRefs>
    <ds:schemaRef ds:uri="http://schemas.microsoft.com/sharepoint/v3/contenttype/forms"/>
  </ds:schemaRefs>
</ds:datastoreItem>
</file>

<file path=customXml/itemProps2.xml><?xml version="1.0" encoding="utf-8"?>
<ds:datastoreItem xmlns:ds="http://schemas.openxmlformats.org/officeDocument/2006/customXml" ds:itemID="{55DA366A-5147-4927-8CCA-7FEAC7AE3CB0}">
  <ds:schemaRefs>
    <ds:schemaRef ds:uri="http://schemas.microsoft.com/sharepoint/events"/>
  </ds:schemaRefs>
</ds:datastoreItem>
</file>

<file path=customXml/itemProps3.xml><?xml version="1.0" encoding="utf-8"?>
<ds:datastoreItem xmlns:ds="http://schemas.openxmlformats.org/officeDocument/2006/customXml" ds:itemID="{E3FA16F5-96AC-429A-B388-E67987BD55F9}">
  <ds:schemaRefs>
    <ds:schemaRef ds:uri="http://schemas.microsoft.com/office/2006/metadata/properties"/>
    <ds:schemaRef ds:uri="http://schemas.microsoft.com/office/infopath/2007/PartnerControls"/>
    <ds:schemaRef ds:uri="dbefc7fa-1a1d-4432-8b48-0661d01a2bf9"/>
    <ds:schemaRef ds:uri="a6d513ee-f771-4d67-ba0a-282864486c78"/>
  </ds:schemaRefs>
</ds:datastoreItem>
</file>

<file path=customXml/itemProps4.xml><?xml version="1.0" encoding="utf-8"?>
<ds:datastoreItem xmlns:ds="http://schemas.openxmlformats.org/officeDocument/2006/customXml" ds:itemID="{C72CEBE8-5AC2-478E-976D-A1AE8A3BD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a6d513ee-f771-4d67-ba0a-282864486c78"/>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2031</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Disability Support guidelines</dc:title>
  <dc:subject>Instructions on how to apply for and manage Skills Disability Support</dc:subject>
  <dc:creator>Queensland Government</dc:creator>
  <cp:keywords/>
  <dc:description/>
  <cp:lastModifiedBy>Tersia Parsons</cp:lastModifiedBy>
  <cp:revision>7</cp:revision>
  <cp:lastPrinted>2025-09-08T04:35:00Z</cp:lastPrinted>
  <dcterms:created xsi:type="dcterms:W3CDTF">2025-09-02T02:58:00Z</dcterms:created>
  <dcterms:modified xsi:type="dcterms:W3CDTF">2025-09-08T04:41:00Z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0x010100DDF2DADD5570B447AB905B429A0D4B9E</vt:lpwstr>
  </property>
  <property fmtid="{D5CDD505-2E9C-101B-9397-08002B2CF9AE}" pid="3" name="_dlc_DocIdItemGuid">
    <vt:lpwstr>a38754eb-bcf2-4e35-a7b4-810bd1a81d61</vt:lpwstr>
  </property>
  <property fmtid="{D5CDD505-2E9C-101B-9397-08002B2CF9AE}" pid="4" name="MediaServiceImageTags">
    <vt:lpwstr/>
  </property>
</Properties>
</file>